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6E" w:rsidRPr="00FA654B" w:rsidRDefault="00F068C1" w:rsidP="00F068C1">
      <w:pPr>
        <w:pStyle w:val="Heading1"/>
        <w:jc w:val="center"/>
        <w:rPr>
          <w:rFonts w:asciiTheme="minorHAnsi" w:hAnsiTheme="minorHAnsi"/>
          <w:u w:val="none"/>
        </w:rPr>
      </w:pPr>
      <w:r w:rsidRPr="00FA654B">
        <w:rPr>
          <w:rFonts w:asciiTheme="minorHAnsi" w:eastAsia="Times New Roman" w:hAnsiTheme="minorHAnsi" w:cs="Helvetica"/>
          <w:noProof/>
          <w:color w:val="333333"/>
          <w:sz w:val="20"/>
        </w:rPr>
        <w:drawing>
          <wp:inline distT="0" distB="0" distL="0" distR="0" wp14:anchorId="72389FA0" wp14:editId="0150BF94">
            <wp:extent cx="1866900" cy="1315446"/>
            <wp:effectExtent l="0" t="0" r="0" b="0"/>
            <wp:docPr id="3" name="Picture 3" descr="http://i.dailymail.co.uk/i/pix/2010/01/04/article-0-07BFD0B0000005DC-142_468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0/01/04/article-0-07BFD0B0000005DC-142_468x3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635" cy="1325829"/>
                    </a:xfrm>
                    <a:prstGeom prst="rect">
                      <a:avLst/>
                    </a:prstGeom>
                    <a:noFill/>
                    <a:ln>
                      <a:noFill/>
                    </a:ln>
                  </pic:spPr>
                </pic:pic>
              </a:graphicData>
            </a:graphic>
          </wp:inline>
        </w:drawing>
      </w:r>
    </w:p>
    <w:p w:rsidR="00D05D89" w:rsidRPr="00FA654B" w:rsidRDefault="00D05D89" w:rsidP="00F068C1">
      <w:pPr>
        <w:jc w:val="center"/>
        <w:rPr>
          <w:rFonts w:asciiTheme="minorHAnsi" w:hAnsiTheme="minorHAnsi"/>
        </w:rPr>
      </w:pPr>
    </w:p>
    <w:p w:rsidR="00407CAE" w:rsidRDefault="000B1D0B" w:rsidP="00543EA0">
      <w:pPr>
        <w:pStyle w:val="Title"/>
        <w:jc w:val="center"/>
      </w:pPr>
      <w:r>
        <w:t>PSY</w:t>
      </w:r>
      <w:r w:rsidR="00407CAE">
        <w:t>620</w:t>
      </w:r>
      <w:r w:rsidR="0062101A" w:rsidRPr="00FA654B">
        <w:t>A</w:t>
      </w:r>
    </w:p>
    <w:p w:rsidR="006C726E" w:rsidRPr="00FA654B" w:rsidRDefault="00407CAE" w:rsidP="00543EA0">
      <w:pPr>
        <w:pStyle w:val="Title"/>
        <w:jc w:val="center"/>
      </w:pPr>
      <w:r w:rsidRPr="00407CAE">
        <w:t>Functional neuroanatomy of the prefrontal cortex</w:t>
      </w:r>
    </w:p>
    <w:p w:rsidR="006C726E" w:rsidRPr="00543EA0" w:rsidRDefault="00043D7B" w:rsidP="00543EA0">
      <w:pPr>
        <w:pStyle w:val="Subtitle"/>
        <w:jc w:val="center"/>
        <w:rPr>
          <w:sz w:val="24"/>
        </w:rPr>
      </w:pPr>
      <w:r>
        <w:rPr>
          <w:sz w:val="40"/>
        </w:rPr>
        <w:t>Fall</w:t>
      </w:r>
      <w:r w:rsidR="0005662D">
        <w:rPr>
          <w:sz w:val="40"/>
        </w:rPr>
        <w:t xml:space="preserve"> </w:t>
      </w:r>
      <w:r w:rsidR="0062101A" w:rsidRPr="00543EA0">
        <w:rPr>
          <w:sz w:val="40"/>
        </w:rPr>
        <w:t>201</w:t>
      </w:r>
      <w:r w:rsidR="00407CAE">
        <w:rPr>
          <w:sz w:val="40"/>
        </w:rPr>
        <w:t>9</w:t>
      </w:r>
    </w:p>
    <w:p w:rsidR="00407CAE" w:rsidRPr="00407CAE" w:rsidRDefault="00407CAE" w:rsidP="00407CAE">
      <w:pPr>
        <w:rPr>
          <w:rFonts w:asciiTheme="minorHAnsi" w:hAnsiTheme="minorHAnsi"/>
        </w:rPr>
      </w:pPr>
      <w:r w:rsidRPr="00407CAE">
        <w:rPr>
          <w:rFonts w:asciiTheme="minorHAnsi" w:hAnsiTheme="minorHAnsi"/>
          <w:b/>
        </w:rPr>
        <w:t>Instructor:</w:t>
      </w:r>
      <w:r>
        <w:rPr>
          <w:rFonts w:asciiTheme="minorHAnsi" w:hAnsiTheme="minorHAnsi"/>
        </w:rPr>
        <w:tab/>
      </w:r>
      <w:r w:rsidRPr="00407CAE">
        <w:rPr>
          <w:rFonts w:asciiTheme="minorHAnsi" w:hAnsiTheme="minorHAnsi"/>
        </w:rPr>
        <w:t>Matthew McMurray, PhD</w:t>
      </w:r>
      <w:r w:rsidRPr="00407CAE">
        <w:rPr>
          <w:rFonts w:asciiTheme="minorHAnsi" w:hAnsiTheme="minorHAnsi"/>
        </w:rPr>
        <w:tab/>
      </w:r>
      <w:r w:rsidRPr="00407CAE">
        <w:rPr>
          <w:rFonts w:asciiTheme="minorHAnsi" w:hAnsiTheme="minorHAnsi"/>
        </w:rPr>
        <w:tab/>
        <w:t xml:space="preserve">          </w:t>
      </w:r>
    </w:p>
    <w:p w:rsidR="00407CAE" w:rsidRPr="00407CAE" w:rsidRDefault="00407CAE" w:rsidP="00407CAE">
      <w:pPr>
        <w:ind w:left="720" w:firstLine="720"/>
        <w:rPr>
          <w:rFonts w:asciiTheme="minorHAnsi" w:hAnsiTheme="minorHAnsi"/>
        </w:rPr>
      </w:pPr>
      <w:r w:rsidRPr="00407CAE">
        <w:rPr>
          <w:rFonts w:asciiTheme="minorHAnsi" w:hAnsiTheme="minorHAnsi"/>
        </w:rPr>
        <w:t>Assistant Professor</w:t>
      </w:r>
    </w:p>
    <w:p w:rsidR="00407CAE" w:rsidRPr="00407CAE" w:rsidRDefault="00407CAE" w:rsidP="00407CAE">
      <w:pPr>
        <w:ind w:left="720" w:firstLine="720"/>
        <w:rPr>
          <w:rFonts w:asciiTheme="minorHAnsi" w:hAnsiTheme="minorHAnsi"/>
        </w:rPr>
      </w:pPr>
      <w:r w:rsidRPr="00407CAE">
        <w:rPr>
          <w:rFonts w:asciiTheme="minorHAnsi" w:hAnsiTheme="minorHAnsi"/>
        </w:rPr>
        <w:t>Department of Psychology</w:t>
      </w:r>
      <w:r w:rsidRPr="00407CAE">
        <w:rPr>
          <w:rFonts w:asciiTheme="minorHAnsi" w:hAnsiTheme="minorHAnsi"/>
        </w:rPr>
        <w:tab/>
      </w:r>
      <w:r w:rsidRPr="00407CAE">
        <w:rPr>
          <w:rFonts w:asciiTheme="minorHAnsi" w:hAnsiTheme="minorHAnsi"/>
        </w:rPr>
        <w:tab/>
      </w:r>
    </w:p>
    <w:p w:rsidR="00407CAE" w:rsidRPr="00407CAE" w:rsidRDefault="00407CAE" w:rsidP="00407CAE">
      <w:pPr>
        <w:rPr>
          <w:rFonts w:asciiTheme="minorHAnsi" w:hAnsiTheme="minorHAnsi"/>
        </w:rPr>
      </w:pPr>
      <w:r w:rsidRPr="00407CAE">
        <w:rPr>
          <w:rFonts w:asciiTheme="minorHAnsi" w:hAnsiTheme="minorHAnsi"/>
          <w:b/>
        </w:rPr>
        <w:t>Office:</w:t>
      </w:r>
      <w:r w:rsidRPr="00407CAE">
        <w:rPr>
          <w:rFonts w:asciiTheme="minorHAnsi" w:hAnsiTheme="minorHAnsi"/>
        </w:rPr>
        <w:t xml:space="preserve">  </w:t>
      </w:r>
      <w:r>
        <w:rPr>
          <w:rFonts w:asciiTheme="minorHAnsi" w:hAnsiTheme="minorHAnsi"/>
        </w:rPr>
        <w:tab/>
      </w:r>
      <w:r w:rsidRPr="00407CAE">
        <w:rPr>
          <w:rFonts w:asciiTheme="minorHAnsi" w:hAnsiTheme="minorHAnsi"/>
        </w:rPr>
        <w:t>Psychology, Room 221</w:t>
      </w:r>
      <w:r w:rsidRPr="00407CAE">
        <w:rPr>
          <w:rFonts w:asciiTheme="minorHAnsi" w:hAnsiTheme="minorHAnsi"/>
        </w:rPr>
        <w:tab/>
      </w:r>
    </w:p>
    <w:p w:rsidR="00DF6384" w:rsidRDefault="00407CAE" w:rsidP="00407CAE">
      <w:pPr>
        <w:rPr>
          <w:rFonts w:asciiTheme="minorHAnsi" w:hAnsiTheme="minorHAnsi"/>
        </w:rPr>
      </w:pPr>
      <w:r w:rsidRPr="00407CAE">
        <w:rPr>
          <w:rFonts w:asciiTheme="minorHAnsi" w:hAnsiTheme="minorHAnsi"/>
          <w:b/>
        </w:rPr>
        <w:t>E-mail:</w:t>
      </w:r>
      <w:r w:rsidRPr="00407CAE">
        <w:rPr>
          <w:rFonts w:asciiTheme="minorHAnsi" w:hAnsiTheme="minorHAnsi"/>
        </w:rPr>
        <w:t xml:space="preserve">  </w:t>
      </w:r>
      <w:r>
        <w:rPr>
          <w:rFonts w:asciiTheme="minorHAnsi" w:hAnsiTheme="minorHAnsi"/>
        </w:rPr>
        <w:tab/>
      </w:r>
      <w:hyperlink r:id="rId9" w:history="1">
        <w:r w:rsidRPr="00343DE9">
          <w:rPr>
            <w:rStyle w:val="Hyperlink"/>
            <w:rFonts w:asciiTheme="minorHAnsi" w:hAnsiTheme="minorHAnsi"/>
          </w:rPr>
          <w:t>matthew.mcmurray@miamioh.edu</w:t>
        </w:r>
      </w:hyperlink>
    </w:p>
    <w:p w:rsidR="00407CAE" w:rsidRPr="00FA654B" w:rsidRDefault="00407CAE" w:rsidP="00407CAE">
      <w:pPr>
        <w:rPr>
          <w:rFonts w:asciiTheme="minorHAnsi" w:hAnsiTheme="minorHAnsi"/>
        </w:rPr>
      </w:pPr>
    </w:p>
    <w:p w:rsidR="006C726E" w:rsidRPr="00543EA0" w:rsidRDefault="00DF6384" w:rsidP="009D1938">
      <w:pPr>
        <w:pStyle w:val="Heading1"/>
        <w:rPr>
          <w:rFonts w:asciiTheme="minorHAnsi" w:hAnsiTheme="minorHAnsi"/>
          <w:b/>
          <w:sz w:val="28"/>
          <w:szCs w:val="22"/>
          <w:u w:val="none"/>
        </w:rPr>
      </w:pPr>
      <w:r w:rsidRPr="00543EA0">
        <w:rPr>
          <w:rFonts w:asciiTheme="minorHAnsi" w:hAnsiTheme="minorHAnsi"/>
          <w:b/>
          <w:sz w:val="28"/>
          <w:szCs w:val="22"/>
          <w:u w:val="none"/>
        </w:rPr>
        <w:t xml:space="preserve">Class </w:t>
      </w:r>
      <w:r w:rsidR="006C726E" w:rsidRPr="00543EA0">
        <w:rPr>
          <w:rFonts w:asciiTheme="minorHAnsi" w:hAnsiTheme="minorHAnsi"/>
          <w:b/>
          <w:sz w:val="28"/>
          <w:szCs w:val="22"/>
          <w:u w:val="none"/>
        </w:rPr>
        <w:t xml:space="preserve">Meeting </w:t>
      </w:r>
      <w:r w:rsidR="009D1938" w:rsidRPr="00543EA0">
        <w:rPr>
          <w:rFonts w:asciiTheme="minorHAnsi" w:hAnsiTheme="minorHAnsi"/>
          <w:b/>
          <w:sz w:val="28"/>
          <w:szCs w:val="22"/>
          <w:u w:val="none"/>
        </w:rPr>
        <w:t>L</w:t>
      </w:r>
      <w:r w:rsidR="006C726E" w:rsidRPr="00543EA0">
        <w:rPr>
          <w:rFonts w:asciiTheme="minorHAnsi" w:hAnsiTheme="minorHAnsi"/>
          <w:b/>
          <w:sz w:val="28"/>
          <w:szCs w:val="22"/>
          <w:u w:val="none"/>
        </w:rPr>
        <w:t xml:space="preserve">ocation and </w:t>
      </w:r>
      <w:r w:rsidR="009D1938" w:rsidRPr="00543EA0">
        <w:rPr>
          <w:rFonts w:asciiTheme="minorHAnsi" w:hAnsiTheme="minorHAnsi"/>
          <w:b/>
          <w:sz w:val="28"/>
          <w:szCs w:val="22"/>
          <w:u w:val="none"/>
        </w:rPr>
        <w:t>Times</w:t>
      </w:r>
      <w:r w:rsidR="006C726E" w:rsidRPr="00543EA0">
        <w:rPr>
          <w:rFonts w:asciiTheme="minorHAnsi" w:hAnsiTheme="minorHAnsi"/>
          <w:b/>
          <w:sz w:val="28"/>
          <w:szCs w:val="22"/>
          <w:u w:val="none"/>
        </w:rPr>
        <w:t xml:space="preserve">     </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Pr="00FA654B">
        <w:rPr>
          <w:rFonts w:asciiTheme="minorHAnsi" w:hAnsiTheme="minorHAnsi"/>
          <w:sz w:val="22"/>
          <w:szCs w:val="22"/>
        </w:rPr>
        <w:t xml:space="preserve"> </w:t>
      </w:r>
      <w:r w:rsidR="00CE770A">
        <w:rPr>
          <w:rFonts w:asciiTheme="minorHAnsi" w:hAnsiTheme="minorHAnsi"/>
          <w:sz w:val="22"/>
          <w:szCs w:val="22"/>
        </w:rPr>
        <w:t>M</w:t>
      </w:r>
      <w:r w:rsidR="00407CAE" w:rsidRPr="00407CAE">
        <w:rPr>
          <w:rFonts w:asciiTheme="minorHAnsi" w:hAnsiTheme="minorHAnsi"/>
          <w:sz w:val="22"/>
          <w:szCs w:val="22"/>
        </w:rPr>
        <w:t xml:space="preserve"> 12:00 PM - </w:t>
      </w:r>
      <w:r w:rsidR="00CE770A">
        <w:rPr>
          <w:rFonts w:asciiTheme="minorHAnsi" w:hAnsiTheme="minorHAnsi"/>
          <w:sz w:val="22"/>
          <w:szCs w:val="22"/>
        </w:rPr>
        <w:t>2</w:t>
      </w:r>
      <w:r w:rsidR="00407CAE" w:rsidRPr="00407CAE">
        <w:rPr>
          <w:rFonts w:asciiTheme="minorHAnsi" w:hAnsiTheme="minorHAnsi"/>
          <w:sz w:val="22"/>
          <w:szCs w:val="22"/>
        </w:rPr>
        <w:t>:</w:t>
      </w:r>
      <w:r w:rsidR="00CE770A">
        <w:rPr>
          <w:rFonts w:asciiTheme="minorHAnsi" w:hAnsiTheme="minorHAnsi"/>
          <w:sz w:val="22"/>
          <w:szCs w:val="22"/>
        </w:rPr>
        <w:t>4</w:t>
      </w:r>
      <w:r w:rsidR="00407CAE" w:rsidRPr="00407CAE">
        <w:rPr>
          <w:rFonts w:asciiTheme="minorHAnsi" w:hAnsiTheme="minorHAnsi"/>
          <w:sz w:val="22"/>
          <w:szCs w:val="22"/>
        </w:rPr>
        <w:t>0 PM</w:t>
      </w:r>
    </w:p>
    <w:p w:rsidR="006C726E" w:rsidRDefault="006C726E" w:rsidP="009D1938">
      <w:pPr>
        <w:rPr>
          <w:rFonts w:asciiTheme="minorHAnsi" w:hAnsiTheme="minorHAnsi"/>
          <w:sz w:val="22"/>
          <w:szCs w:val="22"/>
        </w:rPr>
      </w:pPr>
      <w:r w:rsidRPr="00FA654B">
        <w:rPr>
          <w:rFonts w:asciiTheme="minorHAnsi" w:hAnsiTheme="minorHAnsi"/>
          <w:sz w:val="22"/>
          <w:szCs w:val="22"/>
          <w:u w:val="single"/>
        </w:rPr>
        <w:t>Location:</w:t>
      </w:r>
      <w:r w:rsidR="0005662D">
        <w:rPr>
          <w:rFonts w:asciiTheme="minorHAnsi" w:hAnsiTheme="minorHAnsi"/>
          <w:sz w:val="22"/>
          <w:szCs w:val="22"/>
        </w:rPr>
        <w:t xml:space="preserve"> </w:t>
      </w:r>
      <w:r w:rsidR="00CE770A">
        <w:rPr>
          <w:rFonts w:asciiTheme="minorHAnsi" w:hAnsiTheme="minorHAnsi"/>
          <w:sz w:val="22"/>
          <w:szCs w:val="22"/>
        </w:rPr>
        <w:t>244</w:t>
      </w:r>
      <w:r w:rsidR="00407CAE" w:rsidRPr="00407CAE">
        <w:rPr>
          <w:rFonts w:asciiTheme="minorHAnsi" w:hAnsiTheme="minorHAnsi"/>
          <w:sz w:val="22"/>
          <w:szCs w:val="22"/>
        </w:rPr>
        <w:t xml:space="preserve"> Psychology</w:t>
      </w:r>
      <w:r w:rsidR="00407CAE">
        <w:rPr>
          <w:rFonts w:asciiTheme="minorHAnsi" w:hAnsiTheme="minorHAnsi"/>
          <w:sz w:val="22"/>
          <w:szCs w:val="22"/>
        </w:rPr>
        <w:t xml:space="preserve"> </w:t>
      </w:r>
      <w:r w:rsidR="00284338" w:rsidRPr="00FA654B">
        <w:rPr>
          <w:rFonts w:asciiTheme="minorHAnsi" w:hAnsiTheme="minorHAnsi"/>
          <w:sz w:val="22"/>
          <w:szCs w:val="22"/>
        </w:rPr>
        <w:t>Building</w:t>
      </w:r>
    </w:p>
    <w:p w:rsidR="005015AA" w:rsidRPr="00FA654B" w:rsidRDefault="005015AA" w:rsidP="009D1938">
      <w:pPr>
        <w:rPr>
          <w:rFonts w:asciiTheme="minorHAnsi" w:hAnsiTheme="minorHAnsi"/>
          <w:sz w:val="22"/>
          <w:szCs w:val="22"/>
        </w:rPr>
      </w:pPr>
    </w:p>
    <w:p w:rsidR="005015AA" w:rsidRPr="00543EA0" w:rsidRDefault="00D70CDC" w:rsidP="005D1A2C">
      <w:pPr>
        <w:pStyle w:val="Heading1"/>
        <w:rPr>
          <w:rFonts w:asciiTheme="minorHAnsi" w:hAnsiTheme="minorHAnsi"/>
          <w:b/>
          <w:sz w:val="28"/>
          <w:szCs w:val="22"/>
          <w:u w:val="none"/>
        </w:rPr>
      </w:pPr>
      <w:r w:rsidRPr="00543EA0">
        <w:rPr>
          <w:rFonts w:asciiTheme="minorHAnsi" w:hAnsiTheme="minorHAnsi"/>
          <w:b/>
          <w:sz w:val="28"/>
          <w:szCs w:val="22"/>
          <w:u w:val="none"/>
        </w:rPr>
        <w:t xml:space="preserve">Instructor </w:t>
      </w:r>
      <w:r w:rsidR="009D1938" w:rsidRPr="00543EA0">
        <w:rPr>
          <w:rFonts w:asciiTheme="minorHAnsi" w:hAnsiTheme="minorHAnsi"/>
          <w:b/>
          <w:sz w:val="28"/>
          <w:szCs w:val="22"/>
          <w:u w:val="none"/>
        </w:rPr>
        <w:t>O</w:t>
      </w:r>
      <w:r w:rsidRPr="00543EA0">
        <w:rPr>
          <w:rFonts w:asciiTheme="minorHAnsi" w:hAnsiTheme="minorHAnsi"/>
          <w:b/>
          <w:sz w:val="28"/>
          <w:szCs w:val="22"/>
          <w:u w:val="none"/>
        </w:rPr>
        <w:t xml:space="preserve">ffice </w:t>
      </w:r>
      <w:r w:rsidR="009D1938" w:rsidRPr="00543EA0">
        <w:rPr>
          <w:rFonts w:asciiTheme="minorHAnsi" w:hAnsiTheme="minorHAnsi"/>
          <w:b/>
          <w:sz w:val="28"/>
          <w:szCs w:val="22"/>
          <w:u w:val="none"/>
        </w:rPr>
        <w:t>Hours</w:t>
      </w:r>
    </w:p>
    <w:p w:rsidR="005015AA" w:rsidRPr="00FA654B" w:rsidRDefault="005015AA" w:rsidP="009D1938">
      <w:pPr>
        <w:rPr>
          <w:rFonts w:asciiTheme="minorHAnsi" w:hAnsiTheme="minorHAnsi"/>
          <w:sz w:val="22"/>
          <w:szCs w:val="22"/>
        </w:rPr>
      </w:pPr>
      <w:r w:rsidRPr="00FA654B">
        <w:rPr>
          <w:rFonts w:asciiTheme="minorHAnsi" w:hAnsiTheme="minorHAnsi"/>
          <w:sz w:val="22"/>
          <w:szCs w:val="22"/>
          <w:u w:val="single"/>
        </w:rPr>
        <w:t>Times:</w:t>
      </w:r>
      <w:r w:rsidR="00CF4460" w:rsidRPr="00FA654B">
        <w:rPr>
          <w:rFonts w:asciiTheme="minorHAnsi" w:hAnsiTheme="minorHAnsi"/>
          <w:sz w:val="22"/>
          <w:szCs w:val="22"/>
        </w:rPr>
        <w:t xml:space="preserve"> </w:t>
      </w:r>
      <w:r w:rsidR="00407CAE">
        <w:rPr>
          <w:rFonts w:asciiTheme="minorHAnsi" w:hAnsiTheme="minorHAnsi"/>
          <w:sz w:val="22"/>
          <w:szCs w:val="22"/>
        </w:rPr>
        <w:t>B</w:t>
      </w:r>
      <w:r w:rsidR="00CF4460" w:rsidRPr="00FA654B">
        <w:rPr>
          <w:rFonts w:asciiTheme="minorHAnsi" w:hAnsiTheme="minorHAnsi"/>
          <w:sz w:val="22"/>
          <w:szCs w:val="22"/>
        </w:rPr>
        <w:t>y appointment</w:t>
      </w:r>
    </w:p>
    <w:p w:rsidR="00FD7157" w:rsidRPr="00FA654B" w:rsidRDefault="005015AA" w:rsidP="009D1938">
      <w:pPr>
        <w:rPr>
          <w:rFonts w:asciiTheme="minorHAnsi" w:hAnsiTheme="minorHAnsi"/>
          <w:sz w:val="22"/>
          <w:szCs w:val="22"/>
        </w:rPr>
      </w:pPr>
      <w:r w:rsidRPr="00FA654B">
        <w:rPr>
          <w:rFonts w:asciiTheme="minorHAnsi" w:hAnsiTheme="minorHAnsi"/>
          <w:sz w:val="22"/>
          <w:szCs w:val="22"/>
          <w:u w:val="single"/>
        </w:rPr>
        <w:t>Location:</w:t>
      </w:r>
      <w:r w:rsidRPr="00FA654B">
        <w:rPr>
          <w:rFonts w:asciiTheme="minorHAnsi" w:hAnsiTheme="minorHAnsi"/>
          <w:sz w:val="22"/>
          <w:szCs w:val="22"/>
        </w:rPr>
        <w:t xml:space="preserve"> </w:t>
      </w:r>
      <w:r w:rsidR="00E600DE">
        <w:rPr>
          <w:rFonts w:asciiTheme="minorHAnsi" w:hAnsiTheme="minorHAnsi"/>
          <w:sz w:val="22"/>
          <w:szCs w:val="22"/>
        </w:rPr>
        <w:t>Dr</w:t>
      </w:r>
      <w:r w:rsidR="00043D7B">
        <w:rPr>
          <w:rFonts w:asciiTheme="minorHAnsi" w:hAnsiTheme="minorHAnsi"/>
          <w:sz w:val="22"/>
          <w:szCs w:val="22"/>
        </w:rPr>
        <w:t>.</w:t>
      </w:r>
      <w:r w:rsidR="00E600DE">
        <w:rPr>
          <w:rFonts w:asciiTheme="minorHAnsi" w:hAnsiTheme="minorHAnsi"/>
          <w:sz w:val="22"/>
          <w:szCs w:val="22"/>
        </w:rPr>
        <w:t xml:space="preserve"> McMurray’s</w:t>
      </w:r>
      <w:r w:rsidR="00CF4460" w:rsidRPr="00FA654B">
        <w:rPr>
          <w:rFonts w:asciiTheme="minorHAnsi" w:hAnsiTheme="minorHAnsi"/>
          <w:sz w:val="22"/>
          <w:szCs w:val="22"/>
        </w:rPr>
        <w:t xml:space="preserve"> office is located on the </w:t>
      </w:r>
      <w:r w:rsidR="00181A26" w:rsidRPr="00FA654B">
        <w:rPr>
          <w:rFonts w:asciiTheme="minorHAnsi" w:hAnsiTheme="minorHAnsi"/>
          <w:sz w:val="22"/>
          <w:szCs w:val="22"/>
        </w:rPr>
        <w:t xml:space="preserve">second </w:t>
      </w:r>
      <w:r w:rsidR="00CF4460" w:rsidRPr="00FA654B">
        <w:rPr>
          <w:rFonts w:asciiTheme="minorHAnsi" w:hAnsiTheme="minorHAnsi"/>
          <w:sz w:val="22"/>
          <w:szCs w:val="22"/>
        </w:rPr>
        <w:t xml:space="preserve">floor of the Psychology Building, </w:t>
      </w:r>
      <w:r w:rsidR="006441AD" w:rsidRPr="00FA654B">
        <w:rPr>
          <w:rFonts w:asciiTheme="minorHAnsi" w:hAnsiTheme="minorHAnsi"/>
          <w:sz w:val="22"/>
          <w:szCs w:val="22"/>
        </w:rPr>
        <w:t>R</w:t>
      </w:r>
      <w:r w:rsidR="00CF4460" w:rsidRPr="00FA654B">
        <w:rPr>
          <w:rFonts w:asciiTheme="minorHAnsi" w:hAnsiTheme="minorHAnsi"/>
          <w:sz w:val="22"/>
          <w:szCs w:val="22"/>
        </w:rPr>
        <w:t xml:space="preserve">oom </w:t>
      </w:r>
      <w:r w:rsidR="00181A26" w:rsidRPr="00FA654B">
        <w:rPr>
          <w:rFonts w:asciiTheme="minorHAnsi" w:hAnsiTheme="minorHAnsi"/>
          <w:sz w:val="22"/>
          <w:szCs w:val="22"/>
        </w:rPr>
        <w:t>221</w:t>
      </w:r>
      <w:r w:rsidR="00CF4460" w:rsidRPr="00FA654B">
        <w:rPr>
          <w:rFonts w:asciiTheme="minorHAnsi" w:hAnsiTheme="minorHAnsi"/>
          <w:sz w:val="22"/>
          <w:szCs w:val="22"/>
        </w:rPr>
        <w:t xml:space="preserve">. </w:t>
      </w:r>
      <w:r w:rsidR="00E600DE">
        <w:rPr>
          <w:rFonts w:asciiTheme="minorHAnsi" w:hAnsiTheme="minorHAnsi"/>
          <w:sz w:val="22"/>
          <w:szCs w:val="22"/>
        </w:rPr>
        <w:t>He</w:t>
      </w:r>
      <w:r w:rsidR="005473B9" w:rsidRPr="00FA654B">
        <w:rPr>
          <w:rFonts w:asciiTheme="minorHAnsi" w:hAnsiTheme="minorHAnsi"/>
          <w:sz w:val="22"/>
          <w:szCs w:val="22"/>
        </w:rPr>
        <w:t xml:space="preserve"> maintain</w:t>
      </w:r>
      <w:r w:rsidR="00E600DE">
        <w:rPr>
          <w:rFonts w:asciiTheme="minorHAnsi" w:hAnsiTheme="minorHAnsi"/>
          <w:sz w:val="22"/>
          <w:szCs w:val="22"/>
        </w:rPr>
        <w:t>s</w:t>
      </w:r>
      <w:r w:rsidR="005473B9" w:rsidRPr="00FA654B">
        <w:rPr>
          <w:rFonts w:asciiTheme="minorHAnsi" w:hAnsiTheme="minorHAnsi"/>
          <w:sz w:val="22"/>
          <w:szCs w:val="22"/>
        </w:rPr>
        <w:t xml:space="preserve"> an active research laboratory. Therefore, o</w:t>
      </w:r>
      <w:r w:rsidRPr="00FA654B">
        <w:rPr>
          <w:rFonts w:asciiTheme="minorHAnsi" w:hAnsiTheme="minorHAnsi"/>
          <w:sz w:val="22"/>
          <w:szCs w:val="22"/>
        </w:rPr>
        <w:t>n occasion</w:t>
      </w:r>
      <w:r w:rsidR="00E600DE">
        <w:rPr>
          <w:rFonts w:asciiTheme="minorHAnsi" w:hAnsiTheme="minorHAnsi"/>
          <w:sz w:val="22"/>
          <w:szCs w:val="22"/>
        </w:rPr>
        <w:t xml:space="preserve">, his </w:t>
      </w:r>
      <w:r w:rsidRPr="00FA654B">
        <w:rPr>
          <w:rFonts w:asciiTheme="minorHAnsi" w:hAnsiTheme="minorHAnsi"/>
          <w:sz w:val="22"/>
          <w:szCs w:val="22"/>
        </w:rPr>
        <w:t xml:space="preserve">office hours </w:t>
      </w:r>
      <w:r w:rsidR="00E600DE">
        <w:rPr>
          <w:rFonts w:asciiTheme="minorHAnsi" w:hAnsiTheme="minorHAnsi"/>
          <w:sz w:val="22"/>
          <w:szCs w:val="22"/>
        </w:rPr>
        <w:t xml:space="preserve">will be held </w:t>
      </w:r>
      <w:r w:rsidRPr="00FA654B">
        <w:rPr>
          <w:rFonts w:asciiTheme="minorHAnsi" w:hAnsiTheme="minorHAnsi"/>
          <w:sz w:val="22"/>
          <w:szCs w:val="22"/>
        </w:rPr>
        <w:t xml:space="preserve">in the Behavioral Neuroscience laboratories (basement of Psychology Building). </w:t>
      </w:r>
      <w:r w:rsidR="00E600DE">
        <w:rPr>
          <w:rFonts w:asciiTheme="minorHAnsi" w:hAnsiTheme="minorHAnsi"/>
          <w:sz w:val="22"/>
          <w:szCs w:val="22"/>
        </w:rPr>
        <w:t xml:space="preserve">He </w:t>
      </w:r>
      <w:r w:rsidRPr="00FA654B">
        <w:rPr>
          <w:rFonts w:asciiTheme="minorHAnsi" w:hAnsiTheme="minorHAnsi"/>
          <w:sz w:val="22"/>
          <w:szCs w:val="22"/>
        </w:rPr>
        <w:t xml:space="preserve">will send an email and leave a note on </w:t>
      </w:r>
      <w:r w:rsidR="008F304C">
        <w:rPr>
          <w:rFonts w:asciiTheme="minorHAnsi" w:hAnsiTheme="minorHAnsi"/>
          <w:sz w:val="22"/>
          <w:szCs w:val="22"/>
        </w:rPr>
        <w:t>his</w:t>
      </w:r>
      <w:r w:rsidRPr="00FA654B">
        <w:rPr>
          <w:rFonts w:asciiTheme="minorHAnsi" w:hAnsiTheme="minorHAnsi"/>
          <w:sz w:val="22"/>
          <w:szCs w:val="22"/>
        </w:rPr>
        <w:t xml:space="preserve"> office door </w:t>
      </w:r>
      <w:r w:rsidR="005473B9" w:rsidRPr="00FA654B">
        <w:rPr>
          <w:rFonts w:asciiTheme="minorHAnsi" w:hAnsiTheme="minorHAnsi"/>
          <w:sz w:val="22"/>
          <w:szCs w:val="22"/>
        </w:rPr>
        <w:t>in that case</w:t>
      </w:r>
      <w:r w:rsidR="00FD7157" w:rsidRPr="00FA654B">
        <w:rPr>
          <w:rFonts w:asciiTheme="minorHAnsi" w:hAnsiTheme="minorHAnsi"/>
          <w:sz w:val="22"/>
          <w:szCs w:val="22"/>
        </w:rPr>
        <w:t>.</w:t>
      </w:r>
    </w:p>
    <w:p w:rsidR="005473B9" w:rsidRDefault="00FD7157" w:rsidP="009D1938">
      <w:pPr>
        <w:rPr>
          <w:rFonts w:asciiTheme="minorHAnsi" w:hAnsiTheme="minorHAnsi"/>
          <w:sz w:val="22"/>
          <w:szCs w:val="22"/>
        </w:rPr>
      </w:pPr>
      <w:r w:rsidRPr="00FA654B">
        <w:rPr>
          <w:rFonts w:asciiTheme="minorHAnsi" w:hAnsiTheme="minorHAnsi"/>
          <w:sz w:val="22"/>
          <w:szCs w:val="22"/>
          <w:u w:val="single"/>
        </w:rPr>
        <w:t>Note:</w:t>
      </w:r>
      <w:r w:rsidRPr="00FA654B">
        <w:rPr>
          <w:rFonts w:asciiTheme="minorHAnsi" w:hAnsiTheme="minorHAnsi"/>
          <w:sz w:val="22"/>
          <w:szCs w:val="22"/>
        </w:rPr>
        <w:t xml:space="preserve"> </w:t>
      </w:r>
      <w:r w:rsidR="00E600DE">
        <w:rPr>
          <w:rFonts w:asciiTheme="minorHAnsi" w:hAnsiTheme="minorHAnsi"/>
          <w:sz w:val="22"/>
          <w:szCs w:val="22"/>
        </w:rPr>
        <w:t>Dr</w:t>
      </w:r>
      <w:r w:rsidR="00043D7B">
        <w:rPr>
          <w:rFonts w:asciiTheme="minorHAnsi" w:hAnsiTheme="minorHAnsi"/>
          <w:sz w:val="22"/>
          <w:szCs w:val="22"/>
        </w:rPr>
        <w:t>.</w:t>
      </w:r>
      <w:r w:rsidR="00E600DE">
        <w:rPr>
          <w:rFonts w:asciiTheme="minorHAnsi" w:hAnsiTheme="minorHAnsi"/>
          <w:sz w:val="22"/>
          <w:szCs w:val="22"/>
        </w:rPr>
        <w:t xml:space="preserve"> McMurray</w:t>
      </w:r>
      <w:r w:rsidR="005015AA" w:rsidRPr="00FA654B">
        <w:rPr>
          <w:rFonts w:asciiTheme="minorHAnsi" w:hAnsiTheme="minorHAnsi"/>
          <w:sz w:val="22"/>
          <w:szCs w:val="22"/>
        </w:rPr>
        <w:t xml:space="preserve"> </w:t>
      </w:r>
      <w:r w:rsidR="005473B9" w:rsidRPr="00FA654B">
        <w:rPr>
          <w:rFonts w:asciiTheme="minorHAnsi" w:hAnsiTheme="minorHAnsi"/>
          <w:sz w:val="22"/>
          <w:szCs w:val="22"/>
        </w:rPr>
        <w:t>strongly encourage</w:t>
      </w:r>
      <w:r w:rsidR="00E600DE">
        <w:rPr>
          <w:rFonts w:asciiTheme="minorHAnsi" w:hAnsiTheme="minorHAnsi"/>
          <w:sz w:val="22"/>
          <w:szCs w:val="22"/>
        </w:rPr>
        <w:t>s</w:t>
      </w:r>
      <w:r w:rsidR="005473B9" w:rsidRPr="00FA654B">
        <w:rPr>
          <w:rFonts w:asciiTheme="minorHAnsi" w:hAnsiTheme="minorHAnsi"/>
          <w:sz w:val="22"/>
          <w:szCs w:val="22"/>
        </w:rPr>
        <w:t xml:space="preserve"> each of </w:t>
      </w:r>
      <w:r w:rsidR="005015AA" w:rsidRPr="00FA654B">
        <w:rPr>
          <w:rFonts w:asciiTheme="minorHAnsi" w:hAnsiTheme="minorHAnsi"/>
          <w:sz w:val="22"/>
          <w:szCs w:val="22"/>
        </w:rPr>
        <w:t>you to stop by early and often</w:t>
      </w:r>
      <w:r w:rsidR="005473B9" w:rsidRPr="00FA654B">
        <w:rPr>
          <w:rFonts w:asciiTheme="minorHAnsi" w:hAnsiTheme="minorHAnsi"/>
          <w:sz w:val="22"/>
          <w:szCs w:val="22"/>
        </w:rPr>
        <w:t xml:space="preserve">. Not only </w:t>
      </w:r>
      <w:r w:rsidRPr="00FA654B">
        <w:rPr>
          <w:rFonts w:asciiTheme="minorHAnsi" w:hAnsiTheme="minorHAnsi"/>
          <w:sz w:val="22"/>
          <w:szCs w:val="22"/>
        </w:rPr>
        <w:t>will</w:t>
      </w:r>
      <w:r w:rsidR="005473B9" w:rsidRPr="00FA654B">
        <w:rPr>
          <w:rFonts w:asciiTheme="minorHAnsi" w:hAnsiTheme="minorHAnsi"/>
          <w:sz w:val="22"/>
          <w:szCs w:val="22"/>
        </w:rPr>
        <w:t xml:space="preserve"> this help you better understand this difficult material,</w:t>
      </w:r>
      <w:r w:rsidRPr="00FA654B">
        <w:rPr>
          <w:rFonts w:asciiTheme="minorHAnsi" w:hAnsiTheme="minorHAnsi"/>
          <w:sz w:val="22"/>
          <w:szCs w:val="22"/>
        </w:rPr>
        <w:t xml:space="preserve"> but it </w:t>
      </w:r>
      <w:r w:rsidR="006441AD" w:rsidRPr="00FA654B">
        <w:rPr>
          <w:rFonts w:asciiTheme="minorHAnsi" w:hAnsiTheme="minorHAnsi"/>
          <w:sz w:val="22"/>
          <w:szCs w:val="22"/>
        </w:rPr>
        <w:t xml:space="preserve">also </w:t>
      </w:r>
      <w:r w:rsidRPr="00FA654B">
        <w:rPr>
          <w:rFonts w:asciiTheme="minorHAnsi" w:hAnsiTheme="minorHAnsi"/>
          <w:sz w:val="22"/>
          <w:szCs w:val="22"/>
        </w:rPr>
        <w:t xml:space="preserve">lets </w:t>
      </w:r>
      <w:r w:rsidR="00E600DE">
        <w:rPr>
          <w:rFonts w:asciiTheme="minorHAnsi" w:hAnsiTheme="minorHAnsi"/>
          <w:sz w:val="22"/>
          <w:szCs w:val="22"/>
        </w:rPr>
        <w:t>him</w:t>
      </w:r>
      <w:r w:rsidRPr="00FA654B">
        <w:rPr>
          <w:rFonts w:asciiTheme="minorHAnsi" w:hAnsiTheme="minorHAnsi"/>
          <w:sz w:val="22"/>
          <w:szCs w:val="22"/>
        </w:rPr>
        <w:t xml:space="preserve"> get to know you</w:t>
      </w:r>
      <w:r w:rsidR="006441AD" w:rsidRPr="00FA654B">
        <w:rPr>
          <w:rFonts w:asciiTheme="minorHAnsi" w:hAnsiTheme="minorHAnsi"/>
          <w:sz w:val="22"/>
          <w:szCs w:val="22"/>
        </w:rPr>
        <w:t xml:space="preserve"> </w:t>
      </w:r>
      <w:r w:rsidRPr="00FA654B">
        <w:rPr>
          <w:rFonts w:asciiTheme="minorHAnsi" w:hAnsiTheme="minorHAnsi"/>
          <w:sz w:val="22"/>
          <w:szCs w:val="22"/>
        </w:rPr>
        <w:t>and get feedback on the course du</w:t>
      </w:r>
      <w:r w:rsidR="00C91469">
        <w:rPr>
          <w:rFonts w:asciiTheme="minorHAnsi" w:hAnsiTheme="minorHAnsi"/>
          <w:sz w:val="22"/>
          <w:szCs w:val="22"/>
        </w:rPr>
        <w:t>ring the semester.</w:t>
      </w:r>
    </w:p>
    <w:p w:rsidR="00DF6384" w:rsidRPr="00FA654B" w:rsidRDefault="00DF6384" w:rsidP="009D1938">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Course Description</w:t>
      </w:r>
    </w:p>
    <w:p w:rsidR="00680FE5" w:rsidRPr="00407CAE" w:rsidRDefault="00407CAE" w:rsidP="00407CAE">
      <w:pPr>
        <w:rPr>
          <w:rFonts w:asciiTheme="minorHAnsi" w:hAnsiTheme="minorHAnsi"/>
          <w:sz w:val="22"/>
          <w:szCs w:val="22"/>
        </w:rPr>
      </w:pPr>
      <w:r>
        <w:rPr>
          <w:rFonts w:asciiTheme="minorHAnsi" w:hAnsiTheme="minorHAnsi"/>
          <w:sz w:val="22"/>
          <w:szCs w:val="22"/>
        </w:rPr>
        <w:t>The prefrontal cortex (PFC) has been implicated in a wide array of functions, from emotional regulation to executive action, subjective value estimation, and even action planning. Given its wide array of cognitive roles, it naturally has a very complex structure, with multiple subregions contributing distinct and overlapping elements to our behavior and cognition. The e</w:t>
      </w:r>
      <w:r w:rsidRPr="00407CAE">
        <w:rPr>
          <w:rFonts w:asciiTheme="minorHAnsi" w:hAnsiTheme="minorHAnsi"/>
          <w:sz w:val="22"/>
          <w:szCs w:val="22"/>
        </w:rPr>
        <w:t xml:space="preserve">mphasis </w:t>
      </w:r>
      <w:r>
        <w:rPr>
          <w:rFonts w:asciiTheme="minorHAnsi" w:hAnsiTheme="minorHAnsi"/>
          <w:sz w:val="22"/>
          <w:szCs w:val="22"/>
        </w:rPr>
        <w:t xml:space="preserve">of this seminar is on </w:t>
      </w:r>
      <w:r w:rsidRPr="00407CAE">
        <w:rPr>
          <w:rFonts w:asciiTheme="minorHAnsi" w:hAnsiTheme="minorHAnsi"/>
          <w:sz w:val="22"/>
          <w:szCs w:val="22"/>
        </w:rPr>
        <w:t>its role in decision-making and executive control</w:t>
      </w:r>
      <w:r>
        <w:rPr>
          <w:rFonts w:asciiTheme="minorHAnsi" w:hAnsiTheme="minorHAnsi"/>
          <w:sz w:val="22"/>
          <w:szCs w:val="22"/>
        </w:rPr>
        <w:t>, which are some of its most studied functions</w:t>
      </w:r>
      <w:r w:rsidRPr="00407CAE">
        <w:rPr>
          <w:rFonts w:asciiTheme="minorHAnsi" w:hAnsiTheme="minorHAnsi"/>
          <w:sz w:val="22"/>
          <w:szCs w:val="22"/>
        </w:rPr>
        <w:t xml:space="preserve">. </w:t>
      </w:r>
      <w:r>
        <w:rPr>
          <w:rFonts w:asciiTheme="minorHAnsi" w:hAnsiTheme="minorHAnsi"/>
          <w:sz w:val="22"/>
          <w:szCs w:val="22"/>
        </w:rPr>
        <w:t xml:space="preserve">The course will be divided into a number of blocks, each focused on </w:t>
      </w:r>
      <w:r w:rsidRPr="00407CAE">
        <w:rPr>
          <w:rFonts w:asciiTheme="minorHAnsi" w:hAnsiTheme="minorHAnsi"/>
          <w:sz w:val="22"/>
          <w:szCs w:val="22"/>
        </w:rPr>
        <w:t xml:space="preserve">a different part of the PFC, covering its anatomy (afferents/efferents, local structure, </w:t>
      </w:r>
      <w:proofErr w:type="spellStart"/>
      <w:r w:rsidRPr="00407CAE">
        <w:rPr>
          <w:rFonts w:asciiTheme="minorHAnsi" w:hAnsiTheme="minorHAnsi"/>
          <w:sz w:val="22"/>
          <w:szCs w:val="22"/>
        </w:rPr>
        <w:t>etc</w:t>
      </w:r>
      <w:proofErr w:type="spellEnd"/>
      <w:r w:rsidRPr="00407CAE">
        <w:rPr>
          <w:rFonts w:asciiTheme="minorHAnsi" w:hAnsiTheme="minorHAnsi"/>
          <w:sz w:val="22"/>
          <w:szCs w:val="22"/>
        </w:rPr>
        <w:t xml:space="preserve">), and </w:t>
      </w:r>
      <w:r>
        <w:rPr>
          <w:rFonts w:asciiTheme="minorHAnsi" w:hAnsiTheme="minorHAnsi"/>
          <w:sz w:val="22"/>
          <w:szCs w:val="22"/>
        </w:rPr>
        <w:t xml:space="preserve">discussing both </w:t>
      </w:r>
      <w:r w:rsidRPr="00407CAE">
        <w:rPr>
          <w:rFonts w:asciiTheme="minorHAnsi" w:hAnsiTheme="minorHAnsi"/>
          <w:sz w:val="22"/>
          <w:szCs w:val="22"/>
        </w:rPr>
        <w:t>review paper</w:t>
      </w:r>
      <w:r>
        <w:rPr>
          <w:rFonts w:asciiTheme="minorHAnsi" w:hAnsiTheme="minorHAnsi"/>
          <w:sz w:val="22"/>
          <w:szCs w:val="22"/>
        </w:rPr>
        <w:t>s</w:t>
      </w:r>
      <w:r w:rsidRPr="00407CAE">
        <w:rPr>
          <w:rFonts w:asciiTheme="minorHAnsi" w:hAnsiTheme="minorHAnsi"/>
          <w:sz w:val="22"/>
          <w:szCs w:val="22"/>
        </w:rPr>
        <w:t xml:space="preserve"> </w:t>
      </w:r>
      <w:r>
        <w:rPr>
          <w:rFonts w:asciiTheme="minorHAnsi" w:hAnsiTheme="minorHAnsi"/>
          <w:sz w:val="22"/>
          <w:szCs w:val="22"/>
        </w:rPr>
        <w:t xml:space="preserve">and original research </w:t>
      </w:r>
      <w:r w:rsidRPr="00407CAE">
        <w:rPr>
          <w:rFonts w:asciiTheme="minorHAnsi" w:hAnsiTheme="minorHAnsi"/>
          <w:sz w:val="22"/>
          <w:szCs w:val="22"/>
        </w:rPr>
        <w:t xml:space="preserve">on its role in the previously-mentioned domains. This seminar </w:t>
      </w:r>
      <w:r>
        <w:rPr>
          <w:rFonts w:asciiTheme="minorHAnsi" w:hAnsiTheme="minorHAnsi"/>
          <w:sz w:val="22"/>
          <w:szCs w:val="22"/>
        </w:rPr>
        <w:t xml:space="preserve">will integrate findings from </w:t>
      </w:r>
      <w:r w:rsidRPr="00407CAE">
        <w:rPr>
          <w:rFonts w:asciiTheme="minorHAnsi" w:hAnsiTheme="minorHAnsi"/>
          <w:sz w:val="22"/>
          <w:szCs w:val="22"/>
        </w:rPr>
        <w:t>both human and animal research</w:t>
      </w:r>
      <w:r>
        <w:rPr>
          <w:rFonts w:asciiTheme="minorHAnsi" w:hAnsiTheme="minorHAnsi"/>
          <w:sz w:val="22"/>
          <w:szCs w:val="22"/>
        </w:rPr>
        <w:t xml:space="preserve"> to broaden our perspectives on each subregion, as well as our methodological and theoretical backgrounds</w:t>
      </w:r>
      <w:r w:rsidRPr="00407CAE">
        <w:rPr>
          <w:rFonts w:asciiTheme="minorHAnsi" w:hAnsiTheme="minorHAnsi"/>
          <w:sz w:val="22"/>
          <w:szCs w:val="22"/>
        </w:rPr>
        <w:t>.</w:t>
      </w:r>
    </w:p>
    <w:p w:rsidR="009E7362" w:rsidRPr="00FA654B" w:rsidRDefault="009E7362" w:rsidP="009E7362">
      <w:pPr>
        <w:rPr>
          <w:rFonts w:asciiTheme="minorHAnsi" w:hAnsiTheme="minorHAnsi"/>
          <w:sz w:val="22"/>
          <w:szCs w:val="22"/>
        </w:rPr>
      </w:pPr>
    </w:p>
    <w:p w:rsidR="00527544" w:rsidRDefault="00527544" w:rsidP="005D1A2C">
      <w:pPr>
        <w:pStyle w:val="Heading1"/>
        <w:rPr>
          <w:rFonts w:asciiTheme="minorHAnsi" w:hAnsiTheme="minorHAnsi"/>
          <w:b/>
          <w:sz w:val="28"/>
          <w:szCs w:val="22"/>
          <w:u w:val="none"/>
        </w:rPr>
      </w:pPr>
      <w:r>
        <w:rPr>
          <w:rFonts w:asciiTheme="minorHAnsi" w:hAnsiTheme="minorHAnsi"/>
          <w:b/>
          <w:sz w:val="28"/>
          <w:szCs w:val="22"/>
          <w:u w:val="none"/>
        </w:rPr>
        <w:t>Learning Outcomes</w:t>
      </w:r>
    </w:p>
    <w:p w:rsidR="00F67D4E" w:rsidRDefault="00F67D4E" w:rsidP="005365A2">
      <w:pPr>
        <w:pStyle w:val="ListParagraph"/>
        <w:numPr>
          <w:ilvl w:val="0"/>
          <w:numId w:val="47"/>
        </w:numPr>
        <w:ind w:left="360"/>
        <w:rPr>
          <w:rFonts w:asciiTheme="minorHAnsi" w:hAnsiTheme="minorHAnsi"/>
          <w:sz w:val="22"/>
          <w:szCs w:val="22"/>
        </w:rPr>
      </w:pPr>
      <w:r>
        <w:rPr>
          <w:rFonts w:asciiTheme="minorHAnsi" w:hAnsiTheme="minorHAnsi"/>
          <w:sz w:val="22"/>
          <w:szCs w:val="22"/>
        </w:rPr>
        <w:t>Describe</w:t>
      </w:r>
      <w:r w:rsidRPr="00F67D4E">
        <w:rPr>
          <w:rFonts w:asciiTheme="minorHAnsi" w:hAnsiTheme="minorHAnsi"/>
          <w:sz w:val="22"/>
          <w:szCs w:val="22"/>
        </w:rPr>
        <w:t xml:space="preserve"> the </w:t>
      </w:r>
      <w:r>
        <w:rPr>
          <w:rFonts w:asciiTheme="minorHAnsi" w:hAnsiTheme="minorHAnsi"/>
          <w:sz w:val="22"/>
          <w:szCs w:val="22"/>
        </w:rPr>
        <w:t xml:space="preserve">locations and </w:t>
      </w:r>
      <w:r w:rsidRPr="00F67D4E">
        <w:rPr>
          <w:rFonts w:asciiTheme="minorHAnsi" w:hAnsiTheme="minorHAnsi"/>
          <w:sz w:val="22"/>
          <w:szCs w:val="22"/>
        </w:rPr>
        <w:t xml:space="preserve">major functions </w:t>
      </w:r>
      <w:r>
        <w:rPr>
          <w:rFonts w:asciiTheme="minorHAnsi" w:hAnsiTheme="minorHAnsi"/>
          <w:sz w:val="22"/>
          <w:szCs w:val="22"/>
        </w:rPr>
        <w:t xml:space="preserve">of </w:t>
      </w:r>
      <w:r w:rsidR="00407CAE">
        <w:rPr>
          <w:rFonts w:asciiTheme="minorHAnsi" w:hAnsiTheme="minorHAnsi"/>
          <w:sz w:val="22"/>
          <w:szCs w:val="22"/>
        </w:rPr>
        <w:t>each subregion of the prefrontal cortex</w:t>
      </w:r>
    </w:p>
    <w:p w:rsidR="00407CAE" w:rsidRDefault="00407CAE" w:rsidP="005365A2">
      <w:pPr>
        <w:pStyle w:val="ListParagraph"/>
        <w:numPr>
          <w:ilvl w:val="0"/>
          <w:numId w:val="47"/>
        </w:numPr>
        <w:ind w:left="360"/>
        <w:rPr>
          <w:rFonts w:asciiTheme="minorHAnsi" w:hAnsiTheme="minorHAnsi"/>
          <w:sz w:val="22"/>
          <w:szCs w:val="22"/>
        </w:rPr>
      </w:pPr>
      <w:r>
        <w:rPr>
          <w:rFonts w:asciiTheme="minorHAnsi" w:hAnsiTheme="minorHAnsi"/>
          <w:sz w:val="22"/>
          <w:szCs w:val="22"/>
        </w:rPr>
        <w:t>Understand neuroscience research from both human and animal studies</w:t>
      </w:r>
    </w:p>
    <w:p w:rsidR="00407CAE" w:rsidRPr="00F67D4E" w:rsidRDefault="00407CAE" w:rsidP="005365A2">
      <w:pPr>
        <w:pStyle w:val="ListParagraph"/>
        <w:numPr>
          <w:ilvl w:val="0"/>
          <w:numId w:val="47"/>
        </w:numPr>
        <w:ind w:left="360"/>
        <w:rPr>
          <w:rFonts w:asciiTheme="minorHAnsi" w:hAnsiTheme="minorHAnsi"/>
          <w:sz w:val="22"/>
          <w:szCs w:val="22"/>
        </w:rPr>
      </w:pPr>
      <w:r>
        <w:rPr>
          <w:rFonts w:asciiTheme="minorHAnsi" w:hAnsiTheme="minorHAnsi"/>
          <w:sz w:val="22"/>
          <w:szCs w:val="22"/>
        </w:rPr>
        <w:t>Develop a holistic model of how each component of the PFC interact to drive behavior and cognition</w:t>
      </w:r>
    </w:p>
    <w:p w:rsidR="00CF0F37" w:rsidRDefault="00CF0F37" w:rsidP="005365A2">
      <w:pPr>
        <w:pStyle w:val="ListParagraph"/>
        <w:numPr>
          <w:ilvl w:val="0"/>
          <w:numId w:val="47"/>
        </w:numPr>
        <w:ind w:left="360"/>
        <w:rPr>
          <w:rFonts w:asciiTheme="minorHAnsi" w:hAnsiTheme="minorHAnsi"/>
          <w:sz w:val="22"/>
          <w:szCs w:val="22"/>
        </w:rPr>
      </w:pPr>
      <w:r>
        <w:rPr>
          <w:rFonts w:asciiTheme="minorHAnsi" w:hAnsiTheme="minorHAnsi"/>
          <w:sz w:val="22"/>
          <w:szCs w:val="22"/>
        </w:rPr>
        <w:t xml:space="preserve">Become proficient in </w:t>
      </w:r>
      <w:r w:rsidR="00407CAE">
        <w:rPr>
          <w:rFonts w:asciiTheme="minorHAnsi" w:hAnsiTheme="minorHAnsi"/>
          <w:sz w:val="22"/>
          <w:szCs w:val="22"/>
        </w:rPr>
        <w:t xml:space="preserve">the sharing and creation </w:t>
      </w:r>
      <w:r>
        <w:rPr>
          <w:rFonts w:asciiTheme="minorHAnsi" w:hAnsiTheme="minorHAnsi"/>
          <w:sz w:val="22"/>
          <w:szCs w:val="22"/>
        </w:rPr>
        <w:t>of research knowledge</w:t>
      </w:r>
    </w:p>
    <w:p w:rsidR="00CF0F37" w:rsidRDefault="00CF0F37" w:rsidP="005365A2">
      <w:pPr>
        <w:pStyle w:val="ListParagraph"/>
        <w:numPr>
          <w:ilvl w:val="1"/>
          <w:numId w:val="47"/>
        </w:numPr>
        <w:ind w:left="720"/>
        <w:rPr>
          <w:rFonts w:asciiTheme="minorHAnsi" w:hAnsiTheme="minorHAnsi"/>
          <w:sz w:val="22"/>
          <w:szCs w:val="22"/>
        </w:rPr>
      </w:pPr>
      <w:r>
        <w:rPr>
          <w:rFonts w:asciiTheme="minorHAnsi" w:hAnsiTheme="minorHAnsi"/>
          <w:sz w:val="22"/>
          <w:szCs w:val="22"/>
        </w:rPr>
        <w:lastRenderedPageBreak/>
        <w:t>Read and critique scientific manuscripts, perform literatu</w:t>
      </w:r>
      <w:r w:rsidR="002C5C47">
        <w:rPr>
          <w:rFonts w:asciiTheme="minorHAnsi" w:hAnsiTheme="minorHAnsi"/>
          <w:sz w:val="22"/>
          <w:szCs w:val="22"/>
        </w:rPr>
        <w:t>re searches, develop hypotheses</w:t>
      </w:r>
    </w:p>
    <w:p w:rsidR="009E7362" w:rsidRDefault="009E7362" w:rsidP="005365A2">
      <w:pPr>
        <w:pStyle w:val="ListParagraph"/>
        <w:numPr>
          <w:ilvl w:val="1"/>
          <w:numId w:val="47"/>
        </w:numPr>
        <w:ind w:left="720"/>
        <w:rPr>
          <w:rFonts w:asciiTheme="minorHAnsi" w:hAnsiTheme="minorHAnsi"/>
          <w:sz w:val="22"/>
          <w:szCs w:val="22"/>
        </w:rPr>
      </w:pPr>
      <w:r>
        <w:rPr>
          <w:rFonts w:asciiTheme="minorHAnsi" w:hAnsiTheme="minorHAnsi"/>
          <w:sz w:val="22"/>
          <w:szCs w:val="22"/>
        </w:rPr>
        <w:t>Develop scientific writing skills thro</w:t>
      </w:r>
      <w:r w:rsidR="00CF0F37">
        <w:rPr>
          <w:rFonts w:asciiTheme="minorHAnsi" w:hAnsiTheme="minorHAnsi"/>
          <w:sz w:val="22"/>
          <w:szCs w:val="22"/>
        </w:rPr>
        <w:t xml:space="preserve">ugh the creation of </w:t>
      </w:r>
      <w:r w:rsidR="00407CAE">
        <w:rPr>
          <w:rFonts w:asciiTheme="minorHAnsi" w:hAnsiTheme="minorHAnsi"/>
          <w:sz w:val="22"/>
          <w:szCs w:val="22"/>
        </w:rPr>
        <w:t>a final research project</w:t>
      </w:r>
    </w:p>
    <w:p w:rsidR="00407CAE" w:rsidRPr="00407CAE" w:rsidRDefault="00CF0F37" w:rsidP="00407CAE">
      <w:pPr>
        <w:pStyle w:val="ListParagraph"/>
        <w:numPr>
          <w:ilvl w:val="1"/>
          <w:numId w:val="47"/>
        </w:numPr>
        <w:ind w:left="720"/>
        <w:rPr>
          <w:rFonts w:asciiTheme="minorHAnsi" w:hAnsiTheme="minorHAnsi"/>
          <w:sz w:val="22"/>
          <w:szCs w:val="22"/>
        </w:rPr>
      </w:pPr>
      <w:r>
        <w:rPr>
          <w:rFonts w:asciiTheme="minorHAnsi" w:hAnsiTheme="minorHAnsi"/>
          <w:sz w:val="22"/>
          <w:szCs w:val="22"/>
        </w:rPr>
        <w:t>Present research findings in small groups</w:t>
      </w:r>
    </w:p>
    <w:p w:rsidR="00C91469" w:rsidRPr="00C91469" w:rsidRDefault="00C91469" w:rsidP="00C91469">
      <w:pPr>
        <w:pStyle w:val="ListParagraph"/>
        <w:rPr>
          <w:rFonts w:asciiTheme="minorHAnsi" w:hAnsiTheme="minorHAnsi"/>
          <w:sz w:val="22"/>
          <w:szCs w:val="22"/>
        </w:rPr>
      </w:pPr>
    </w:p>
    <w:p w:rsidR="009D1938" w:rsidRPr="00FA654B" w:rsidRDefault="00A75020" w:rsidP="005D1A2C">
      <w:pPr>
        <w:pStyle w:val="Heading1"/>
        <w:rPr>
          <w:rFonts w:asciiTheme="minorHAnsi" w:hAnsiTheme="minorHAnsi"/>
          <w:b/>
          <w:sz w:val="22"/>
          <w:szCs w:val="22"/>
          <w:u w:val="none"/>
        </w:rPr>
      </w:pPr>
      <w:r w:rsidRPr="00543EA0">
        <w:rPr>
          <w:rFonts w:asciiTheme="minorHAnsi" w:hAnsiTheme="minorHAnsi"/>
          <w:b/>
          <w:sz w:val="28"/>
          <w:szCs w:val="22"/>
          <w:u w:val="none"/>
        </w:rPr>
        <w:t>Required Text</w:t>
      </w:r>
    </w:p>
    <w:p w:rsidR="00407CAE" w:rsidRDefault="00407CAE" w:rsidP="00407CAE">
      <w:pPr>
        <w:rPr>
          <w:rFonts w:asciiTheme="minorHAnsi" w:hAnsiTheme="minorHAnsi"/>
          <w:sz w:val="22"/>
          <w:szCs w:val="22"/>
        </w:rPr>
      </w:pPr>
      <w:r>
        <w:rPr>
          <w:rFonts w:asciiTheme="minorHAnsi" w:hAnsiTheme="minorHAnsi"/>
          <w:sz w:val="22"/>
          <w:szCs w:val="22"/>
        </w:rPr>
        <w:t>All required readings will be provided on Canvas, as well as suggested background readings. Additionally, students may find consultation of a textbook helpful, and are thus referred to the below, both of which are available at the library:</w:t>
      </w:r>
    </w:p>
    <w:p w:rsidR="00407CAE" w:rsidRDefault="00407CAE" w:rsidP="00407CAE">
      <w:pPr>
        <w:pStyle w:val="ListParagraph"/>
        <w:numPr>
          <w:ilvl w:val="0"/>
          <w:numId w:val="49"/>
        </w:numPr>
        <w:ind w:left="360"/>
        <w:rPr>
          <w:rFonts w:asciiTheme="minorHAnsi" w:hAnsiTheme="minorHAnsi"/>
          <w:sz w:val="22"/>
          <w:szCs w:val="22"/>
        </w:rPr>
      </w:pPr>
      <w:proofErr w:type="spellStart"/>
      <w:r w:rsidRPr="00116527">
        <w:rPr>
          <w:rFonts w:asciiTheme="minorHAnsi" w:hAnsiTheme="minorHAnsi"/>
          <w:sz w:val="22"/>
          <w:szCs w:val="22"/>
        </w:rPr>
        <w:t>Pinel</w:t>
      </w:r>
      <w:proofErr w:type="spellEnd"/>
      <w:r w:rsidRPr="00116527">
        <w:rPr>
          <w:rFonts w:asciiTheme="minorHAnsi" w:hAnsiTheme="minorHAnsi"/>
          <w:sz w:val="22"/>
          <w:szCs w:val="22"/>
        </w:rPr>
        <w:t>, JP (2013) Biopsychology, 9</w:t>
      </w:r>
      <w:r w:rsidRPr="00116527">
        <w:rPr>
          <w:rFonts w:asciiTheme="minorHAnsi" w:hAnsiTheme="minorHAnsi"/>
          <w:sz w:val="22"/>
          <w:szCs w:val="22"/>
          <w:vertAlign w:val="superscript"/>
        </w:rPr>
        <w:t>th</w:t>
      </w:r>
      <w:r w:rsidRPr="00116527">
        <w:rPr>
          <w:rFonts w:asciiTheme="minorHAnsi" w:hAnsiTheme="minorHAnsi"/>
          <w:sz w:val="22"/>
          <w:szCs w:val="22"/>
        </w:rPr>
        <w:t xml:space="preserve"> Edition. Upper Saddle River, NJ: Pearson Education, Inc.</w:t>
      </w:r>
    </w:p>
    <w:p w:rsidR="00407CAE" w:rsidRPr="00116527" w:rsidRDefault="00407CAE" w:rsidP="00407CAE">
      <w:pPr>
        <w:pStyle w:val="ListParagraph"/>
        <w:numPr>
          <w:ilvl w:val="1"/>
          <w:numId w:val="49"/>
        </w:numPr>
        <w:ind w:left="720"/>
        <w:rPr>
          <w:rFonts w:asciiTheme="minorHAnsi" w:hAnsiTheme="minorHAnsi"/>
          <w:sz w:val="22"/>
          <w:szCs w:val="22"/>
        </w:rPr>
      </w:pPr>
      <w:r>
        <w:rPr>
          <w:rFonts w:asciiTheme="minorHAnsi" w:hAnsiTheme="minorHAnsi"/>
          <w:sz w:val="22"/>
          <w:szCs w:val="22"/>
        </w:rPr>
        <w:t>This is an undergraduate level textbook and will provide a good overview for students that need a refresher on fundamental topics related to the course.</w:t>
      </w:r>
    </w:p>
    <w:p w:rsidR="00407CAE" w:rsidRDefault="00407CAE" w:rsidP="00407CAE">
      <w:pPr>
        <w:pStyle w:val="ListParagraph"/>
        <w:numPr>
          <w:ilvl w:val="0"/>
          <w:numId w:val="49"/>
        </w:numPr>
        <w:ind w:left="360"/>
        <w:rPr>
          <w:rFonts w:asciiTheme="minorHAnsi" w:hAnsiTheme="minorHAnsi"/>
          <w:sz w:val="22"/>
          <w:szCs w:val="22"/>
        </w:rPr>
      </w:pPr>
      <w:r w:rsidRPr="00116527">
        <w:rPr>
          <w:rFonts w:asciiTheme="minorHAnsi" w:hAnsiTheme="minorHAnsi"/>
          <w:sz w:val="22"/>
          <w:szCs w:val="22"/>
        </w:rPr>
        <w:t xml:space="preserve">Kandel, E; Schwartz, J; </w:t>
      </w:r>
      <w:proofErr w:type="spellStart"/>
      <w:r w:rsidRPr="00116527">
        <w:rPr>
          <w:rFonts w:asciiTheme="minorHAnsi" w:hAnsiTheme="minorHAnsi"/>
          <w:sz w:val="22"/>
          <w:szCs w:val="22"/>
        </w:rPr>
        <w:t>Jessell</w:t>
      </w:r>
      <w:proofErr w:type="spellEnd"/>
      <w:r w:rsidRPr="00116527">
        <w:rPr>
          <w:rFonts w:asciiTheme="minorHAnsi" w:hAnsiTheme="minorHAnsi"/>
          <w:sz w:val="22"/>
          <w:szCs w:val="22"/>
        </w:rPr>
        <w:t xml:space="preserve">, T; </w:t>
      </w:r>
      <w:proofErr w:type="spellStart"/>
      <w:r w:rsidRPr="00116527">
        <w:rPr>
          <w:rFonts w:asciiTheme="minorHAnsi" w:hAnsiTheme="minorHAnsi"/>
          <w:sz w:val="22"/>
          <w:szCs w:val="22"/>
        </w:rPr>
        <w:t>Siegelbaum</w:t>
      </w:r>
      <w:proofErr w:type="spellEnd"/>
      <w:r w:rsidRPr="00116527">
        <w:rPr>
          <w:rFonts w:asciiTheme="minorHAnsi" w:hAnsiTheme="minorHAnsi"/>
          <w:sz w:val="22"/>
          <w:szCs w:val="22"/>
        </w:rPr>
        <w:t>, S; Hudspeth, AJ (2012) Principles of Neural Science, 5</w:t>
      </w:r>
      <w:r w:rsidRPr="00116527">
        <w:rPr>
          <w:rFonts w:asciiTheme="minorHAnsi" w:hAnsiTheme="minorHAnsi"/>
          <w:sz w:val="22"/>
          <w:szCs w:val="22"/>
          <w:vertAlign w:val="superscript"/>
        </w:rPr>
        <w:t>th</w:t>
      </w:r>
      <w:r w:rsidRPr="00116527">
        <w:rPr>
          <w:rFonts w:asciiTheme="minorHAnsi" w:hAnsiTheme="minorHAnsi"/>
          <w:sz w:val="22"/>
          <w:szCs w:val="22"/>
        </w:rPr>
        <w:t xml:space="preserve"> Edition. New York: McGraw-Hill, Health Professions Division.</w:t>
      </w:r>
    </w:p>
    <w:p w:rsidR="00407CAE" w:rsidRPr="00116527" w:rsidRDefault="00407CAE" w:rsidP="00407CAE">
      <w:pPr>
        <w:pStyle w:val="ListParagraph"/>
        <w:numPr>
          <w:ilvl w:val="1"/>
          <w:numId w:val="49"/>
        </w:numPr>
        <w:ind w:left="720"/>
        <w:rPr>
          <w:rFonts w:asciiTheme="minorHAnsi" w:hAnsiTheme="minorHAnsi"/>
          <w:sz w:val="22"/>
          <w:szCs w:val="22"/>
        </w:rPr>
      </w:pPr>
      <w:r>
        <w:rPr>
          <w:rFonts w:asciiTheme="minorHAnsi" w:hAnsiTheme="minorHAnsi"/>
          <w:sz w:val="22"/>
          <w:szCs w:val="22"/>
        </w:rPr>
        <w:t>This is a graduate level textbook that focuses on cellular and molecular neuroscience, and will serve as an excellent reference for these topics; however, it is very in depth and may be challenging for students without significant previous coursework in this field.</w:t>
      </w:r>
    </w:p>
    <w:p w:rsidR="00C91469" w:rsidRPr="00C91469" w:rsidRDefault="00C91469" w:rsidP="00C91469">
      <w:pPr>
        <w:rPr>
          <w:rFonts w:asciiTheme="minorHAnsi" w:hAnsiTheme="minorHAnsi"/>
          <w:sz w:val="22"/>
          <w:szCs w:val="22"/>
        </w:rPr>
      </w:pPr>
    </w:p>
    <w:p w:rsidR="009D1938" w:rsidRPr="00543EA0" w:rsidRDefault="009D1938" w:rsidP="005D1A2C">
      <w:pPr>
        <w:pStyle w:val="Heading1"/>
        <w:rPr>
          <w:rFonts w:asciiTheme="minorHAnsi" w:hAnsiTheme="minorHAnsi"/>
          <w:b/>
          <w:sz w:val="28"/>
          <w:szCs w:val="22"/>
          <w:u w:val="none"/>
        </w:rPr>
      </w:pPr>
      <w:r w:rsidRPr="00543EA0">
        <w:rPr>
          <w:rFonts w:asciiTheme="minorHAnsi" w:hAnsiTheme="minorHAnsi"/>
          <w:b/>
          <w:sz w:val="28"/>
          <w:szCs w:val="22"/>
          <w:u w:val="none"/>
        </w:rPr>
        <w:t>Evaluation</w:t>
      </w:r>
    </w:p>
    <w:p w:rsidR="00421D11" w:rsidRDefault="00421D11" w:rsidP="00D309BC">
      <w:pPr>
        <w:spacing w:after="120"/>
        <w:rPr>
          <w:rFonts w:asciiTheme="minorHAnsi" w:hAnsiTheme="minorHAnsi"/>
          <w:sz w:val="22"/>
          <w:szCs w:val="22"/>
        </w:rPr>
      </w:pPr>
      <w:r w:rsidRPr="00421D11">
        <w:rPr>
          <w:rFonts w:asciiTheme="minorHAnsi" w:hAnsiTheme="minorHAnsi"/>
          <w:sz w:val="22"/>
          <w:szCs w:val="22"/>
          <w:u w:val="single"/>
        </w:rPr>
        <w:t>Participation (1</w:t>
      </w:r>
      <w:r w:rsidR="00E01871">
        <w:rPr>
          <w:rFonts w:asciiTheme="minorHAnsi" w:hAnsiTheme="minorHAnsi"/>
          <w:sz w:val="22"/>
          <w:szCs w:val="22"/>
          <w:u w:val="single"/>
        </w:rPr>
        <w:t>0</w:t>
      </w:r>
      <w:r w:rsidRPr="00421D11">
        <w:rPr>
          <w:rFonts w:asciiTheme="minorHAnsi" w:hAnsiTheme="minorHAnsi"/>
          <w:sz w:val="22"/>
          <w:szCs w:val="22"/>
          <w:u w:val="single"/>
        </w:rPr>
        <w:t>0pts):</w:t>
      </w:r>
      <w:r>
        <w:rPr>
          <w:rFonts w:asciiTheme="minorHAnsi" w:hAnsiTheme="minorHAnsi"/>
          <w:sz w:val="22"/>
          <w:szCs w:val="22"/>
        </w:rPr>
        <w:t xml:space="preserve"> Like attendance, participation in all </w:t>
      </w:r>
      <w:r w:rsidR="00407CAE">
        <w:rPr>
          <w:rFonts w:asciiTheme="minorHAnsi" w:hAnsiTheme="minorHAnsi"/>
          <w:sz w:val="22"/>
          <w:szCs w:val="22"/>
        </w:rPr>
        <w:t xml:space="preserve">discussions </w:t>
      </w:r>
      <w:r>
        <w:rPr>
          <w:rFonts w:asciiTheme="minorHAnsi" w:hAnsiTheme="minorHAnsi"/>
          <w:sz w:val="22"/>
          <w:szCs w:val="22"/>
        </w:rPr>
        <w:t xml:space="preserve">is mandatory. </w:t>
      </w:r>
      <w:r w:rsidR="00407CAE">
        <w:rPr>
          <w:rFonts w:asciiTheme="minorHAnsi" w:hAnsiTheme="minorHAnsi"/>
          <w:sz w:val="22"/>
          <w:szCs w:val="22"/>
        </w:rPr>
        <w:t>Occasionally, s</w:t>
      </w:r>
      <w:r>
        <w:rPr>
          <w:rFonts w:asciiTheme="minorHAnsi" w:hAnsiTheme="minorHAnsi"/>
          <w:sz w:val="22"/>
          <w:szCs w:val="22"/>
        </w:rPr>
        <w:t xml:space="preserve">tudents </w:t>
      </w:r>
      <w:r w:rsidR="00407CAE">
        <w:rPr>
          <w:rFonts w:asciiTheme="minorHAnsi" w:hAnsiTheme="minorHAnsi"/>
          <w:sz w:val="22"/>
          <w:szCs w:val="22"/>
        </w:rPr>
        <w:t>may</w:t>
      </w:r>
      <w:r>
        <w:rPr>
          <w:rFonts w:asciiTheme="minorHAnsi" w:hAnsiTheme="minorHAnsi"/>
          <w:sz w:val="22"/>
          <w:szCs w:val="22"/>
        </w:rPr>
        <w:t xml:space="preserve"> work in small groups, and each student is expected to contribute to </w:t>
      </w:r>
      <w:r w:rsidR="00407CAE">
        <w:rPr>
          <w:rFonts w:asciiTheme="minorHAnsi" w:hAnsiTheme="minorHAnsi"/>
          <w:sz w:val="22"/>
          <w:szCs w:val="22"/>
        </w:rPr>
        <w:t>group effort</w:t>
      </w:r>
      <w:r w:rsidR="00E01871">
        <w:rPr>
          <w:rFonts w:asciiTheme="minorHAnsi" w:hAnsiTheme="minorHAnsi"/>
          <w:sz w:val="22"/>
          <w:szCs w:val="22"/>
        </w:rPr>
        <w:t>. Mid-semester feedback on participation will be provided upon request.</w:t>
      </w:r>
    </w:p>
    <w:p w:rsidR="00407CAE" w:rsidRPr="00407CAE" w:rsidRDefault="00407CAE" w:rsidP="00CD6E4E">
      <w:pPr>
        <w:spacing w:after="120"/>
        <w:rPr>
          <w:rFonts w:asciiTheme="minorHAnsi" w:hAnsiTheme="minorHAnsi"/>
          <w:sz w:val="22"/>
          <w:szCs w:val="22"/>
        </w:rPr>
      </w:pPr>
      <w:r>
        <w:rPr>
          <w:rFonts w:asciiTheme="minorHAnsi" w:hAnsiTheme="minorHAnsi"/>
          <w:sz w:val="22"/>
          <w:szCs w:val="22"/>
          <w:u w:val="single"/>
        </w:rPr>
        <w:t>Paper Summaries (</w:t>
      </w:r>
      <w:r w:rsidR="00E01871">
        <w:rPr>
          <w:rFonts w:asciiTheme="minorHAnsi" w:hAnsiTheme="minorHAnsi"/>
          <w:sz w:val="22"/>
          <w:szCs w:val="22"/>
          <w:u w:val="single"/>
        </w:rPr>
        <w:t>8</w:t>
      </w:r>
      <w:r>
        <w:rPr>
          <w:rFonts w:asciiTheme="minorHAnsi" w:hAnsiTheme="minorHAnsi"/>
          <w:sz w:val="22"/>
          <w:szCs w:val="22"/>
          <w:u w:val="single"/>
        </w:rPr>
        <w:t>pts each):</w:t>
      </w:r>
      <w:r>
        <w:rPr>
          <w:rFonts w:asciiTheme="minorHAnsi" w:hAnsiTheme="minorHAnsi"/>
          <w:sz w:val="22"/>
          <w:szCs w:val="22"/>
        </w:rPr>
        <w:t xml:space="preserve"> Students will submit a summary of each class session’s readings</w:t>
      </w:r>
      <w:r w:rsidR="00B1584D">
        <w:rPr>
          <w:rFonts w:asciiTheme="minorHAnsi" w:hAnsiTheme="minorHAnsi"/>
          <w:sz w:val="22"/>
          <w:szCs w:val="22"/>
        </w:rPr>
        <w:t>. Each submission will include: 1) a single sentence summarizing the goal of the research; 2) the take home message for each figure (one sentence per figure); 3) a single sentence summary of the overall take home message of the paper</w:t>
      </w:r>
      <w:r>
        <w:rPr>
          <w:rFonts w:asciiTheme="minorHAnsi" w:hAnsiTheme="minorHAnsi"/>
          <w:sz w:val="22"/>
          <w:szCs w:val="22"/>
        </w:rPr>
        <w:t xml:space="preserve">. </w:t>
      </w:r>
      <w:r w:rsidR="00E01871">
        <w:rPr>
          <w:rFonts w:asciiTheme="minorHAnsi" w:hAnsiTheme="minorHAnsi"/>
          <w:sz w:val="22"/>
          <w:szCs w:val="22"/>
        </w:rPr>
        <w:t>These will be graded as full credit (8pts), half credit (4pts), or no credit (0pts) based on instructor assessment of completeness and accuracy. Students should submit these</w:t>
      </w:r>
      <w:r>
        <w:rPr>
          <w:rFonts w:asciiTheme="minorHAnsi" w:hAnsiTheme="minorHAnsi"/>
          <w:sz w:val="22"/>
          <w:szCs w:val="22"/>
        </w:rPr>
        <w:t xml:space="preserve"> on canvas by midnight the night before the relevant class.</w:t>
      </w:r>
      <w:r w:rsidR="00862D82">
        <w:rPr>
          <w:rFonts w:asciiTheme="minorHAnsi" w:hAnsiTheme="minorHAnsi"/>
          <w:sz w:val="22"/>
          <w:szCs w:val="22"/>
        </w:rPr>
        <w:t xml:space="preserve"> </w:t>
      </w:r>
      <w:r w:rsidR="00B1584D">
        <w:rPr>
          <w:rFonts w:asciiTheme="minorHAnsi" w:hAnsiTheme="minorHAnsi"/>
          <w:sz w:val="22"/>
          <w:szCs w:val="22"/>
        </w:rPr>
        <w:t xml:space="preserve">Students are not expected to submit summaries of the papers they are presenting. </w:t>
      </w:r>
      <w:r w:rsidR="00E01871">
        <w:rPr>
          <w:rFonts w:asciiTheme="minorHAnsi" w:hAnsiTheme="minorHAnsi"/>
          <w:sz w:val="22"/>
          <w:szCs w:val="22"/>
        </w:rPr>
        <w:t xml:space="preserve">Additionally, the two lowest grades of this type will be dropped at the end of the semester. </w:t>
      </w:r>
      <w:r w:rsidR="00862D82">
        <w:rPr>
          <w:rFonts w:asciiTheme="minorHAnsi" w:hAnsiTheme="minorHAnsi"/>
          <w:sz w:val="22"/>
          <w:szCs w:val="22"/>
        </w:rPr>
        <w:t>More details on these summaries will be provided in class.</w:t>
      </w:r>
    </w:p>
    <w:p w:rsidR="00CD6E4E" w:rsidRPr="00DD28C9" w:rsidRDefault="00CD6E4E" w:rsidP="00CD6E4E">
      <w:pPr>
        <w:spacing w:after="120"/>
        <w:rPr>
          <w:rFonts w:asciiTheme="minorHAnsi" w:hAnsiTheme="minorHAnsi"/>
          <w:sz w:val="22"/>
          <w:szCs w:val="22"/>
        </w:rPr>
      </w:pPr>
      <w:r>
        <w:rPr>
          <w:rFonts w:asciiTheme="minorHAnsi" w:hAnsiTheme="minorHAnsi"/>
          <w:sz w:val="22"/>
          <w:szCs w:val="22"/>
          <w:u w:val="single"/>
        </w:rPr>
        <w:t>Presentations (2</w:t>
      </w:r>
      <w:r w:rsidR="00E01871">
        <w:rPr>
          <w:rFonts w:asciiTheme="minorHAnsi" w:hAnsiTheme="minorHAnsi"/>
          <w:sz w:val="22"/>
          <w:szCs w:val="22"/>
          <w:u w:val="single"/>
        </w:rPr>
        <w:t>5</w:t>
      </w:r>
      <w:r>
        <w:rPr>
          <w:rFonts w:asciiTheme="minorHAnsi" w:hAnsiTheme="minorHAnsi"/>
          <w:sz w:val="22"/>
          <w:szCs w:val="22"/>
          <w:u w:val="single"/>
        </w:rPr>
        <w:t>pts each):</w:t>
      </w:r>
      <w:r w:rsidRPr="00CD6E4E">
        <w:rPr>
          <w:rFonts w:asciiTheme="minorHAnsi" w:hAnsiTheme="minorHAnsi"/>
          <w:sz w:val="22"/>
          <w:szCs w:val="22"/>
        </w:rPr>
        <w:t xml:space="preserve"> </w:t>
      </w:r>
      <w:r w:rsidR="00407CAE">
        <w:rPr>
          <w:rFonts w:asciiTheme="minorHAnsi" w:hAnsiTheme="minorHAnsi"/>
          <w:sz w:val="22"/>
          <w:szCs w:val="22"/>
        </w:rPr>
        <w:t xml:space="preserve">Students will </w:t>
      </w:r>
      <w:r w:rsidR="00B1584D">
        <w:rPr>
          <w:rFonts w:asciiTheme="minorHAnsi" w:hAnsiTheme="minorHAnsi"/>
          <w:sz w:val="22"/>
          <w:szCs w:val="22"/>
        </w:rPr>
        <w:t xml:space="preserve">work in groups of 2 to present and </w:t>
      </w:r>
      <w:r w:rsidR="00407CAE">
        <w:rPr>
          <w:rFonts w:asciiTheme="minorHAnsi" w:hAnsiTheme="minorHAnsi"/>
          <w:sz w:val="22"/>
          <w:szCs w:val="22"/>
        </w:rPr>
        <w:t>lead discussions about research papers.</w:t>
      </w:r>
      <w:r>
        <w:rPr>
          <w:rFonts w:asciiTheme="minorHAnsi" w:hAnsiTheme="minorHAnsi"/>
          <w:sz w:val="22"/>
          <w:szCs w:val="22"/>
        </w:rPr>
        <w:t xml:space="preserve"> Details on presentation format will be provided in class.</w:t>
      </w:r>
    </w:p>
    <w:p w:rsidR="00941AF4" w:rsidRPr="00FA654B" w:rsidRDefault="00421D11" w:rsidP="00941AF4">
      <w:pPr>
        <w:spacing w:after="120"/>
        <w:rPr>
          <w:rFonts w:asciiTheme="minorHAnsi" w:hAnsiTheme="minorHAnsi"/>
          <w:sz w:val="22"/>
          <w:szCs w:val="22"/>
        </w:rPr>
      </w:pPr>
      <w:r>
        <w:rPr>
          <w:rFonts w:asciiTheme="minorHAnsi" w:hAnsiTheme="minorHAnsi"/>
          <w:sz w:val="22"/>
          <w:szCs w:val="22"/>
          <w:u w:val="single"/>
        </w:rPr>
        <w:t xml:space="preserve">Final </w:t>
      </w:r>
      <w:r w:rsidR="00407CAE">
        <w:rPr>
          <w:rFonts w:asciiTheme="minorHAnsi" w:hAnsiTheme="minorHAnsi"/>
          <w:sz w:val="22"/>
          <w:szCs w:val="22"/>
          <w:u w:val="single"/>
        </w:rPr>
        <w:t>Project</w:t>
      </w:r>
      <w:r w:rsidR="00941AF4" w:rsidRPr="00FA654B">
        <w:rPr>
          <w:rFonts w:asciiTheme="minorHAnsi" w:hAnsiTheme="minorHAnsi"/>
          <w:sz w:val="22"/>
          <w:szCs w:val="22"/>
          <w:u w:val="single"/>
        </w:rPr>
        <w:t xml:space="preserve"> (100pts):</w:t>
      </w:r>
      <w:r w:rsidR="00941AF4" w:rsidRPr="00FA654B">
        <w:rPr>
          <w:rFonts w:asciiTheme="minorHAnsi" w:hAnsiTheme="minorHAnsi"/>
          <w:sz w:val="22"/>
          <w:szCs w:val="22"/>
        </w:rPr>
        <w:t xml:space="preserve"> </w:t>
      </w:r>
      <w:r w:rsidR="00407CAE">
        <w:rPr>
          <w:rFonts w:asciiTheme="minorHAnsi" w:hAnsiTheme="minorHAnsi"/>
          <w:sz w:val="22"/>
          <w:szCs w:val="22"/>
        </w:rPr>
        <w:t>Over the course of the semester, each student will develop an independent research project related to course concepts. As a final project, students will write an NIH style grant on their topic, which will be graded according to NIH standard review criterion. More details will be provided in class.</w:t>
      </w:r>
    </w:p>
    <w:p w:rsidR="00A668B5" w:rsidRPr="00FA654B" w:rsidRDefault="00680FE5" w:rsidP="00680FE5">
      <w:pPr>
        <w:rPr>
          <w:rFonts w:asciiTheme="minorHAnsi" w:hAnsiTheme="minorHAnsi"/>
          <w:sz w:val="22"/>
          <w:szCs w:val="22"/>
        </w:rPr>
      </w:pPr>
      <w:r w:rsidRPr="00FA654B">
        <w:rPr>
          <w:rFonts w:asciiTheme="minorHAnsi" w:hAnsiTheme="minorHAnsi"/>
          <w:sz w:val="22"/>
          <w:szCs w:val="22"/>
          <w:u w:val="single"/>
        </w:rPr>
        <w:t>Final Grades:</w:t>
      </w:r>
      <w:r w:rsidRPr="00FA654B">
        <w:rPr>
          <w:rFonts w:asciiTheme="minorHAnsi" w:hAnsiTheme="minorHAnsi"/>
          <w:sz w:val="22"/>
          <w:szCs w:val="22"/>
        </w:rPr>
        <w:t xml:space="preserve"> The scores of all score-able course materials will be summed, and then this score will then be divided by the total number of points possible for the semester</w:t>
      </w:r>
      <w:r w:rsidR="00F21479" w:rsidRPr="00FA654B">
        <w:rPr>
          <w:rFonts w:asciiTheme="minorHAnsi" w:hAnsiTheme="minorHAnsi"/>
          <w:sz w:val="22"/>
          <w:szCs w:val="22"/>
        </w:rPr>
        <w:t xml:space="preserve"> </w:t>
      </w:r>
      <w:r w:rsidRPr="00FA654B">
        <w:rPr>
          <w:rFonts w:asciiTheme="minorHAnsi" w:hAnsiTheme="minorHAnsi"/>
          <w:sz w:val="22"/>
          <w:szCs w:val="22"/>
        </w:rPr>
        <w:t>to generate your final grade. Final grades will be earned according to the following scale:</w:t>
      </w:r>
    </w:p>
    <w:tbl>
      <w:tblPr>
        <w:tblW w:w="9352" w:type="dxa"/>
        <w:jc w:val="center"/>
        <w:tblCellMar>
          <w:top w:w="15" w:type="dxa"/>
          <w:left w:w="15" w:type="dxa"/>
          <w:bottom w:w="15" w:type="dxa"/>
          <w:right w:w="15" w:type="dxa"/>
        </w:tblCellMar>
        <w:tblLook w:val="04A0" w:firstRow="1" w:lastRow="0" w:firstColumn="1" w:lastColumn="0" w:noHBand="0" w:noVBand="1"/>
      </w:tblPr>
      <w:tblGrid>
        <w:gridCol w:w="2332"/>
        <w:gridCol w:w="2340"/>
        <w:gridCol w:w="2340"/>
        <w:gridCol w:w="2340"/>
      </w:tblGrid>
      <w:tr w:rsidR="00993BDA" w:rsidRPr="00FA654B" w:rsidTr="00941AF4">
        <w:trPr>
          <w:jc w:val="center"/>
        </w:trPr>
        <w:tc>
          <w:tcPr>
            <w:tcW w:w="2332"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100%</w:t>
            </w:r>
            <w:r w:rsidRPr="00FA654B">
              <w:rPr>
                <w:rFonts w:asciiTheme="minorHAnsi" w:eastAsia="Times New Roman" w:hAnsiTheme="minorHAnsi" w:cstheme="minorBidi"/>
                <w:color w:val="000000"/>
                <w:sz w:val="22"/>
                <w:szCs w:val="22"/>
              </w:rPr>
              <w:tab/>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 xml:space="preserve">93 – 99% </w:t>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90 – 92%      </w:t>
            </w:r>
            <w:r w:rsidRPr="00FA654B">
              <w:rPr>
                <w:rFonts w:asciiTheme="minorHAnsi" w:eastAsia="Times New Roman" w:hAnsiTheme="minorHAnsi" w:cstheme="minorBidi"/>
                <w:color w:val="000000"/>
                <w:sz w:val="22"/>
                <w:szCs w:val="22"/>
              </w:rPr>
              <w:tab/>
              <w:t>A-</w:t>
            </w:r>
          </w:p>
          <w:p w:rsidR="00993BDA" w:rsidRPr="00FA654B" w:rsidRDefault="00993BDA" w:rsidP="00993BDA">
            <w:pPr>
              <w:spacing w:line="259" w:lineRule="auto"/>
              <w:rPr>
                <w:rFonts w:asciiTheme="minorHAnsi" w:eastAsia="Times New Roman" w:hAnsiTheme="minorHAnsi" w:cstheme="minorBidi"/>
                <w:sz w:val="22"/>
                <w:szCs w:val="24"/>
              </w:rPr>
            </w:pPr>
          </w:p>
        </w:tc>
        <w:tc>
          <w:tcPr>
            <w:tcW w:w="2340"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87 – 89%      </w:t>
            </w:r>
            <w:r w:rsidRPr="00FA654B">
              <w:rPr>
                <w:rFonts w:asciiTheme="minorHAnsi" w:eastAsia="Times New Roman" w:hAnsiTheme="minorHAnsi" w:cstheme="minorBidi"/>
                <w:color w:val="000000"/>
                <w:sz w:val="22"/>
                <w:szCs w:val="22"/>
              </w:rPr>
              <w:tab/>
              <w:t>B+</w:t>
            </w:r>
          </w:p>
          <w:p w:rsidR="00993BDA" w:rsidRPr="00FA654B" w:rsidRDefault="00993BDA" w:rsidP="00993BDA">
            <w:pPr>
              <w:spacing w:line="259" w:lineRule="auto"/>
              <w:rPr>
                <w:rFonts w:asciiTheme="minorHAnsi" w:eastAsia="Times New Roman" w:hAnsiTheme="minorHAnsi" w:cstheme="minorBidi"/>
                <w:color w:val="000000"/>
                <w:sz w:val="22"/>
                <w:szCs w:val="22"/>
              </w:rPr>
            </w:pPr>
            <w:r w:rsidRPr="00FA654B">
              <w:rPr>
                <w:rFonts w:asciiTheme="minorHAnsi" w:eastAsia="Times New Roman" w:hAnsiTheme="minorHAnsi" w:cstheme="minorBidi"/>
                <w:color w:val="000000"/>
                <w:sz w:val="22"/>
                <w:szCs w:val="22"/>
              </w:rPr>
              <w:t>83 – 86%       </w:t>
            </w:r>
            <w:r w:rsidRPr="00FA654B">
              <w:rPr>
                <w:rFonts w:asciiTheme="minorHAnsi" w:eastAsia="Times New Roman" w:hAnsiTheme="minorHAnsi" w:cstheme="minorBidi"/>
                <w:color w:val="000000"/>
                <w:sz w:val="22"/>
                <w:szCs w:val="22"/>
              </w:rPr>
              <w:tab/>
              <w:t xml:space="preserve">B </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80 – 82%      </w:t>
            </w:r>
            <w:r w:rsidRPr="00FA654B">
              <w:rPr>
                <w:rFonts w:asciiTheme="minorHAnsi" w:eastAsia="Times New Roman" w:hAnsiTheme="minorHAnsi" w:cstheme="minorBidi"/>
                <w:color w:val="000000"/>
                <w:sz w:val="22"/>
                <w:szCs w:val="22"/>
              </w:rPr>
              <w:tab/>
              <w:t>B-</w:t>
            </w:r>
          </w:p>
          <w:p w:rsidR="00993BDA" w:rsidRPr="00FA654B" w:rsidRDefault="00993BDA" w:rsidP="00993BDA">
            <w:pPr>
              <w:spacing w:line="259" w:lineRule="auto"/>
              <w:rPr>
                <w:rFonts w:asciiTheme="minorHAnsi" w:eastAsia="Times New Roman" w:hAnsiTheme="minorHAnsi" w:cstheme="minorBidi"/>
                <w:sz w:val="22"/>
                <w:szCs w:val="24"/>
              </w:rPr>
            </w:pPr>
          </w:p>
        </w:tc>
        <w:tc>
          <w:tcPr>
            <w:tcW w:w="2340" w:type="dxa"/>
          </w:tcPr>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77 – 79%      </w:t>
            </w:r>
            <w:r w:rsidRPr="00FA654B">
              <w:rPr>
                <w:rFonts w:asciiTheme="minorHAnsi" w:eastAsia="Times New Roman" w:hAnsiTheme="minorHAnsi" w:cstheme="minorBidi"/>
                <w:color w:val="000000"/>
                <w:sz w:val="22"/>
                <w:szCs w:val="22"/>
              </w:rPr>
              <w:tab/>
              <w:t>C+</w:t>
            </w:r>
          </w:p>
          <w:p w:rsidR="00993BDA" w:rsidRPr="00FA654B" w:rsidRDefault="00993BDA" w:rsidP="00993BDA">
            <w:pPr>
              <w:spacing w:line="259" w:lineRule="auto"/>
              <w:ind w:left="75" w:right="75"/>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73 – 76%       </w:t>
            </w:r>
            <w:r w:rsidRPr="00FA654B">
              <w:rPr>
                <w:rFonts w:asciiTheme="minorHAnsi" w:eastAsia="Times New Roman" w:hAnsiTheme="minorHAnsi" w:cstheme="minorBidi"/>
                <w:color w:val="000000"/>
                <w:sz w:val="22"/>
                <w:szCs w:val="22"/>
              </w:rPr>
              <w:tab/>
              <w:t>C</w:t>
            </w:r>
          </w:p>
          <w:p w:rsidR="00993BDA" w:rsidRPr="00FA654B" w:rsidRDefault="00993BDA" w:rsidP="00993BDA">
            <w:pPr>
              <w:spacing w:line="259" w:lineRule="auto"/>
              <w:ind w:left="75" w:right="75"/>
              <w:rPr>
                <w:rFonts w:asciiTheme="minorHAnsi" w:eastAsia="Times New Roman" w:hAnsiTheme="minorHAnsi" w:cstheme="minorBidi"/>
                <w:b/>
                <w:bCs/>
                <w:i/>
                <w:iCs/>
                <w:color w:val="000000"/>
                <w:sz w:val="22"/>
                <w:szCs w:val="22"/>
                <w:u w:val="single"/>
              </w:rPr>
            </w:pPr>
            <w:r w:rsidRPr="00FA654B">
              <w:rPr>
                <w:rFonts w:asciiTheme="minorHAnsi" w:eastAsia="Times New Roman" w:hAnsiTheme="minorHAnsi" w:cstheme="minorBidi"/>
                <w:color w:val="000000"/>
                <w:sz w:val="22"/>
                <w:szCs w:val="22"/>
              </w:rPr>
              <w:t>70 – 72%       </w:t>
            </w:r>
            <w:r w:rsidRPr="00FA654B">
              <w:rPr>
                <w:rFonts w:asciiTheme="minorHAnsi" w:eastAsia="Times New Roman" w:hAnsiTheme="minorHAnsi" w:cstheme="minorBidi"/>
                <w:color w:val="000000"/>
                <w:sz w:val="22"/>
                <w:szCs w:val="22"/>
              </w:rPr>
              <w:tab/>
              <w:t>C-</w:t>
            </w:r>
          </w:p>
        </w:tc>
        <w:tc>
          <w:tcPr>
            <w:tcW w:w="2340" w:type="dxa"/>
            <w:tcMar>
              <w:top w:w="105" w:type="dxa"/>
              <w:left w:w="105" w:type="dxa"/>
              <w:bottom w:w="105" w:type="dxa"/>
              <w:right w:w="105" w:type="dxa"/>
            </w:tcMar>
            <w:hideMark/>
          </w:tcPr>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b/>
                <w:bCs/>
                <w:i/>
                <w:iCs/>
                <w:color w:val="000000"/>
                <w:sz w:val="22"/>
                <w:szCs w:val="22"/>
                <w:u w:val="single"/>
              </w:rPr>
              <w:t>Total %</w:t>
            </w:r>
            <w:r w:rsidRPr="00FA654B">
              <w:rPr>
                <w:rFonts w:asciiTheme="minorHAnsi" w:eastAsia="Times New Roman" w:hAnsiTheme="minorHAnsi" w:cstheme="minorBidi"/>
                <w:b/>
                <w:bCs/>
                <w:i/>
                <w:iCs/>
                <w:color w:val="000000"/>
                <w:sz w:val="22"/>
                <w:szCs w:val="22"/>
                <w:u w:val="single"/>
              </w:rPr>
              <w:tab/>
            </w:r>
            <w:r w:rsidRPr="00FA654B">
              <w:rPr>
                <w:rFonts w:asciiTheme="minorHAnsi" w:eastAsia="Times New Roman" w:hAnsiTheme="minorHAnsi" w:cstheme="minorBidi"/>
                <w:b/>
                <w:bCs/>
                <w:i/>
                <w:iCs/>
                <w:color w:val="000000"/>
                <w:sz w:val="22"/>
                <w:szCs w:val="22"/>
                <w:u w:val="single"/>
              </w:rPr>
              <w:tab/>
              <w:t>Grade</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67 – 69%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63 – 66%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60 – 62%       </w:t>
            </w:r>
            <w:r w:rsidRPr="00FA654B">
              <w:rPr>
                <w:rFonts w:asciiTheme="minorHAnsi" w:eastAsia="Times New Roman" w:hAnsiTheme="minorHAnsi" w:cstheme="minorBidi"/>
                <w:color w:val="000000"/>
                <w:sz w:val="22"/>
                <w:szCs w:val="22"/>
              </w:rPr>
              <w:tab/>
              <w:t>D-</w:t>
            </w:r>
          </w:p>
          <w:p w:rsidR="00993BDA" w:rsidRPr="00FA654B" w:rsidRDefault="00993BDA" w:rsidP="00993BDA">
            <w:pPr>
              <w:spacing w:line="259" w:lineRule="auto"/>
              <w:rPr>
                <w:rFonts w:asciiTheme="minorHAnsi" w:eastAsia="Times New Roman" w:hAnsiTheme="minorHAnsi" w:cstheme="minorBidi"/>
                <w:sz w:val="22"/>
                <w:szCs w:val="24"/>
              </w:rPr>
            </w:pPr>
            <w:r w:rsidRPr="00FA654B">
              <w:rPr>
                <w:rFonts w:asciiTheme="minorHAnsi" w:eastAsia="Times New Roman" w:hAnsiTheme="minorHAnsi" w:cstheme="minorBidi"/>
                <w:color w:val="000000"/>
                <w:sz w:val="22"/>
                <w:szCs w:val="22"/>
              </w:rPr>
              <w:t>&lt;59%      </w:t>
            </w:r>
            <w:r w:rsidRPr="00FA654B">
              <w:rPr>
                <w:rFonts w:asciiTheme="minorHAnsi" w:eastAsia="Times New Roman" w:hAnsiTheme="minorHAnsi" w:cstheme="minorBidi"/>
                <w:color w:val="000000"/>
                <w:sz w:val="22"/>
                <w:szCs w:val="22"/>
              </w:rPr>
              <w:tab/>
              <w:t>F</w:t>
            </w:r>
          </w:p>
        </w:tc>
      </w:tr>
    </w:tbl>
    <w:p w:rsidR="006C726E" w:rsidRPr="00543EA0" w:rsidRDefault="006441AD" w:rsidP="005D1A2C">
      <w:pPr>
        <w:pStyle w:val="Heading1"/>
        <w:rPr>
          <w:rFonts w:asciiTheme="minorHAnsi" w:hAnsiTheme="minorHAnsi"/>
          <w:b/>
          <w:sz w:val="28"/>
          <w:szCs w:val="22"/>
          <w:u w:val="none"/>
        </w:rPr>
      </w:pPr>
      <w:r w:rsidRPr="00543EA0">
        <w:rPr>
          <w:rFonts w:asciiTheme="minorHAnsi" w:hAnsiTheme="minorHAnsi"/>
          <w:b/>
          <w:sz w:val="28"/>
          <w:szCs w:val="22"/>
          <w:u w:val="none"/>
        </w:rPr>
        <w:t>Academic Dishonesty</w:t>
      </w:r>
    </w:p>
    <w:p w:rsidR="0056654D" w:rsidRPr="00F55795" w:rsidRDefault="0056654D" w:rsidP="0056654D">
      <w:pPr>
        <w:spacing w:after="150"/>
        <w:rPr>
          <w:rFonts w:asciiTheme="minorHAnsi" w:hAnsiTheme="minorHAnsi"/>
          <w:sz w:val="22"/>
          <w:szCs w:val="22"/>
        </w:rPr>
      </w:pPr>
      <w:r w:rsidRPr="00F55795">
        <w:rPr>
          <w:rFonts w:asciiTheme="minorHAnsi" w:hAnsiTheme="minorHAnsi"/>
          <w:sz w:val="22"/>
          <w:szCs w:val="22"/>
        </w:rPr>
        <w:t>Academic Integrity is at the heart of the mission and values of Miami University and is an expectation of all students. Maintaining academic integrity is a reflection of your character and underpins your learning and understanding of the course material.</w:t>
      </w:r>
      <w:r>
        <w:rPr>
          <w:rFonts w:asciiTheme="minorHAnsi" w:hAnsiTheme="minorHAnsi"/>
          <w:sz w:val="22"/>
          <w:szCs w:val="22"/>
        </w:rPr>
        <w:t xml:space="preserve"> </w:t>
      </w:r>
      <w:r w:rsidRPr="00F55795">
        <w:rPr>
          <w:rFonts w:asciiTheme="minorHAnsi" w:hAnsiTheme="minorHAnsi"/>
          <w:sz w:val="22"/>
          <w:szCs w:val="22"/>
        </w:rPr>
        <w:t xml:space="preserve">Cheating will result in not learning what you need to learn in this class. Cheating now may lead to a future of cheating and other unethical behaviors to cover up the fact that you didn’t learn what you were supposed to learn. Try your best, manage your time well, ask questions, and be ethical. </w:t>
      </w:r>
    </w:p>
    <w:p w:rsidR="0056654D" w:rsidRPr="00F55795" w:rsidRDefault="0056654D" w:rsidP="0056654D">
      <w:pPr>
        <w:spacing w:after="150"/>
        <w:rPr>
          <w:rFonts w:asciiTheme="minorHAnsi" w:hAnsiTheme="minorHAnsi"/>
          <w:sz w:val="22"/>
          <w:szCs w:val="22"/>
        </w:rPr>
      </w:pPr>
      <w:r w:rsidRPr="00F55795">
        <w:rPr>
          <w:rFonts w:asciiTheme="minorHAnsi" w:hAnsiTheme="minorHAnsi"/>
          <w:sz w:val="22"/>
          <w:szCs w:val="22"/>
        </w:rPr>
        <w:t xml:space="preserve">Academic integrity is a partnership between me, as the instructor, and you, as the student. My role, as instructor of this course, is to facilitate learning and to provide you with clear guidelines and feedback to help you maintain your </w:t>
      </w:r>
      <w:r w:rsidRPr="00F55795">
        <w:rPr>
          <w:rFonts w:asciiTheme="minorHAnsi" w:hAnsiTheme="minorHAnsi"/>
          <w:sz w:val="22"/>
          <w:szCs w:val="22"/>
        </w:rPr>
        <w:lastRenderedPageBreak/>
        <w:t xml:space="preserve">academic integrity. Your role in this course is to take responsibility for your learning and to complete all assignments in an honest manner and ask for clarification from me if you are unsure of how to do so. </w:t>
      </w:r>
    </w:p>
    <w:p w:rsidR="0056654D" w:rsidRPr="00F55795" w:rsidRDefault="0056654D" w:rsidP="0056654D">
      <w:pPr>
        <w:spacing w:after="150"/>
        <w:rPr>
          <w:rFonts w:asciiTheme="minorHAnsi" w:hAnsiTheme="minorHAnsi"/>
          <w:sz w:val="22"/>
          <w:szCs w:val="22"/>
        </w:rPr>
      </w:pPr>
      <w:r w:rsidRPr="00F55795">
        <w:rPr>
          <w:rFonts w:asciiTheme="minorHAnsi" w:hAnsiTheme="minorHAnsi"/>
          <w:sz w:val="22"/>
          <w:szCs w:val="22"/>
        </w:rPr>
        <w:t>Maintaining academic integrity means being serious about your learning, being responsible for your own learning, and making good choices about what kind of student you will be. I promise to uphold my end of our academic partnership in this class, and I hope you choose to do the same.</w:t>
      </w:r>
      <w:r>
        <w:rPr>
          <w:rFonts w:asciiTheme="minorHAnsi" w:hAnsiTheme="minorHAnsi"/>
          <w:sz w:val="22"/>
          <w:szCs w:val="22"/>
        </w:rPr>
        <w:t xml:space="preserve"> I strongly suggest students review the </w:t>
      </w:r>
      <w:hyperlink r:id="rId10" w:history="1">
        <w:r w:rsidRPr="00F55795">
          <w:rPr>
            <w:rStyle w:val="Hyperlink"/>
            <w:rFonts w:asciiTheme="minorHAnsi" w:hAnsiTheme="minorHAnsi"/>
            <w:sz w:val="22"/>
            <w:szCs w:val="22"/>
          </w:rPr>
          <w:t>Student Guide to Academic Integrity</w:t>
        </w:r>
      </w:hyperlink>
      <w:r>
        <w:rPr>
          <w:rFonts w:asciiTheme="minorHAnsi" w:hAnsiTheme="minorHAnsi"/>
          <w:sz w:val="22"/>
          <w:szCs w:val="22"/>
        </w:rPr>
        <w:t xml:space="preserve"> frequently during the semester.</w:t>
      </w:r>
    </w:p>
    <w:p w:rsidR="0056654D" w:rsidRPr="00F55795" w:rsidRDefault="0056654D" w:rsidP="0056654D">
      <w:pPr>
        <w:spacing w:after="150"/>
        <w:rPr>
          <w:rFonts w:asciiTheme="minorHAnsi" w:hAnsiTheme="minorHAnsi"/>
          <w:sz w:val="22"/>
          <w:szCs w:val="22"/>
        </w:rPr>
      </w:pPr>
      <w:r w:rsidRPr="00F55795">
        <w:rPr>
          <w:rFonts w:asciiTheme="minorHAnsi" w:hAnsiTheme="minorHAnsi"/>
          <w:sz w:val="22"/>
          <w:szCs w:val="22"/>
        </w:rPr>
        <w:t xml:space="preserve">Any suspected instances of academic dishonesty will be handled under Miami University’s </w:t>
      </w:r>
      <w:hyperlink r:id="rId11" w:history="1">
        <w:r w:rsidRPr="00F55795">
          <w:rPr>
            <w:rStyle w:val="Hyperlink"/>
            <w:rFonts w:asciiTheme="minorHAnsi" w:hAnsiTheme="minorHAnsi"/>
            <w:sz w:val="22"/>
            <w:szCs w:val="22"/>
          </w:rPr>
          <w:t>Academic Integrity policy</w:t>
        </w:r>
      </w:hyperlink>
      <w:r w:rsidRPr="00F55795">
        <w:rPr>
          <w:rFonts w:asciiTheme="minorHAnsi" w:hAnsiTheme="minorHAnsi"/>
          <w:sz w:val="22"/>
          <w:szCs w:val="22"/>
        </w:rPr>
        <w:t xml:space="preserve"> found in Part 1, Chapter 5 of the Student Handbook (</w:t>
      </w:r>
      <w:hyperlink r:id="rId12" w:history="1">
        <w:r w:rsidRPr="00F55795">
          <w:rPr>
            <w:rStyle w:val="Hyperlink"/>
            <w:rFonts w:asciiTheme="minorHAnsi" w:hAnsiTheme="minorHAnsi"/>
            <w:sz w:val="22"/>
            <w:szCs w:val="22"/>
          </w:rPr>
          <w:t>http://miamioh.edu/policy-library/students/undergraduate/academic-regulations/academic-integrity.html</w:t>
        </w:r>
      </w:hyperlink>
      <w:r w:rsidRPr="00F55795">
        <w:rPr>
          <w:rFonts w:asciiTheme="minorHAnsi" w:hAnsiTheme="minorHAnsi"/>
          <w:sz w:val="22"/>
          <w:szCs w:val="22"/>
        </w:rPr>
        <w:t>). It is a student’s responsibility to read this policy. Please note that lack of knowledge or understanding of the appropriate academic conduct is not an excuse for committing academic dishonesty.</w:t>
      </w:r>
    </w:p>
    <w:p w:rsidR="0056654D" w:rsidRDefault="0056654D" w:rsidP="0056654D">
      <w:pPr>
        <w:spacing w:after="150"/>
        <w:rPr>
          <w:rFonts w:asciiTheme="minorHAnsi" w:hAnsiTheme="minorHAnsi"/>
          <w:b/>
          <w:sz w:val="22"/>
          <w:szCs w:val="22"/>
        </w:rPr>
      </w:pPr>
      <w:r w:rsidRPr="00F55795">
        <w:rPr>
          <w:rFonts w:asciiTheme="minorHAnsi" w:hAnsiTheme="minorHAnsi"/>
          <w:sz w:val="22"/>
          <w:szCs w:val="22"/>
        </w:rPr>
        <w:t>Students who are found responsible for committing academic dishonesty will receive a sanction that ranges from a zero on the assignment to an F in the course, which could contain the AD transcript notation.</w:t>
      </w:r>
      <w:r w:rsidRPr="00F55795">
        <w:rPr>
          <w:rFonts w:asciiTheme="minorHAnsi" w:hAnsiTheme="minorHAnsi"/>
          <w:b/>
          <w:sz w:val="22"/>
          <w:szCs w:val="22"/>
        </w:rPr>
        <w:t xml:space="preserve"> Students who are found responsible for committing two acts of dishonesty (academic or Code of Student Conduct section 102 (Dishonesty)) automatically will be suspended from Miami University.</w:t>
      </w:r>
    </w:p>
    <w:p w:rsidR="0056654D" w:rsidRPr="00941AF4" w:rsidRDefault="0056654D" w:rsidP="0056654D">
      <w:pPr>
        <w:spacing w:after="150"/>
        <w:rPr>
          <w:rFonts w:asciiTheme="minorHAnsi" w:hAnsiTheme="minorHAnsi"/>
          <w:sz w:val="22"/>
          <w:szCs w:val="22"/>
        </w:rPr>
      </w:pPr>
      <w:r w:rsidRPr="00941AF4">
        <w:rPr>
          <w:rFonts w:asciiTheme="minorHAnsi" w:hAnsiTheme="minorHAnsi"/>
          <w:sz w:val="22"/>
          <w:szCs w:val="22"/>
        </w:rPr>
        <w:t xml:space="preserve">If you have questions about how to complete an assignment </w:t>
      </w:r>
      <w:r>
        <w:rPr>
          <w:rFonts w:asciiTheme="minorHAnsi" w:hAnsiTheme="minorHAnsi"/>
          <w:sz w:val="22"/>
          <w:szCs w:val="22"/>
        </w:rPr>
        <w:t xml:space="preserve">ethically </w:t>
      </w:r>
      <w:r w:rsidRPr="00941AF4">
        <w:rPr>
          <w:rFonts w:asciiTheme="minorHAnsi" w:hAnsiTheme="minorHAnsi"/>
          <w:sz w:val="22"/>
          <w:szCs w:val="22"/>
        </w:rPr>
        <w:t xml:space="preserve">or what could constitute academic dishonesty for a particular assignment, please feel free to visit </w:t>
      </w:r>
      <w:r>
        <w:rPr>
          <w:rFonts w:asciiTheme="minorHAnsi" w:hAnsiTheme="minorHAnsi"/>
          <w:sz w:val="22"/>
          <w:szCs w:val="22"/>
        </w:rPr>
        <w:t>Dr. McMurray</w:t>
      </w:r>
      <w:r w:rsidRPr="00941AF4">
        <w:rPr>
          <w:rFonts w:asciiTheme="minorHAnsi" w:hAnsiTheme="minorHAnsi"/>
          <w:sz w:val="22"/>
          <w:szCs w:val="22"/>
        </w:rPr>
        <w:t xml:space="preserve"> during office hours. </w:t>
      </w:r>
      <w:r>
        <w:rPr>
          <w:rFonts w:asciiTheme="minorHAnsi" w:hAnsiTheme="minorHAnsi"/>
          <w:sz w:val="22"/>
          <w:szCs w:val="22"/>
        </w:rPr>
        <w:t>Dr. McMurray</w:t>
      </w:r>
      <w:r w:rsidRPr="00941AF4">
        <w:rPr>
          <w:rFonts w:asciiTheme="minorHAnsi" w:hAnsiTheme="minorHAnsi"/>
          <w:sz w:val="22"/>
          <w:szCs w:val="22"/>
        </w:rPr>
        <w:t xml:space="preserve"> also encourage</w:t>
      </w:r>
      <w:r>
        <w:rPr>
          <w:rFonts w:asciiTheme="minorHAnsi" w:hAnsiTheme="minorHAnsi"/>
          <w:sz w:val="22"/>
          <w:szCs w:val="22"/>
        </w:rPr>
        <w:t>s</w:t>
      </w:r>
      <w:r w:rsidRPr="00941AF4">
        <w:rPr>
          <w:rFonts w:asciiTheme="minorHAnsi" w:hAnsiTheme="minorHAnsi"/>
          <w:sz w:val="22"/>
          <w:szCs w:val="22"/>
        </w:rPr>
        <w:t xml:space="preserve"> you to meet with </w:t>
      </w:r>
      <w:r>
        <w:rPr>
          <w:rFonts w:asciiTheme="minorHAnsi" w:hAnsiTheme="minorHAnsi"/>
          <w:sz w:val="22"/>
          <w:szCs w:val="22"/>
        </w:rPr>
        <w:t>him</w:t>
      </w:r>
      <w:r w:rsidRPr="00941AF4">
        <w:rPr>
          <w:rFonts w:asciiTheme="minorHAnsi" w:hAnsiTheme="minorHAnsi"/>
          <w:sz w:val="22"/>
          <w:szCs w:val="22"/>
        </w:rPr>
        <w:t xml:space="preserve"> if you suspect that another student in the course has engaged in academic misconduct.</w:t>
      </w:r>
    </w:p>
    <w:p w:rsidR="006C726E" w:rsidRPr="00543EA0" w:rsidRDefault="00AE0061" w:rsidP="009D1938">
      <w:pPr>
        <w:pStyle w:val="Heading1"/>
        <w:rPr>
          <w:rFonts w:asciiTheme="minorHAnsi" w:hAnsiTheme="minorHAnsi"/>
          <w:b/>
          <w:sz w:val="28"/>
          <w:szCs w:val="22"/>
          <w:u w:val="none"/>
        </w:rPr>
      </w:pPr>
      <w:r w:rsidRPr="00543EA0">
        <w:rPr>
          <w:rFonts w:asciiTheme="minorHAnsi" w:hAnsiTheme="minorHAnsi"/>
          <w:b/>
          <w:sz w:val="28"/>
          <w:szCs w:val="22"/>
          <w:u w:val="none"/>
        </w:rPr>
        <w:t>Attendance</w:t>
      </w:r>
      <w:r w:rsidR="00323C51">
        <w:rPr>
          <w:rFonts w:asciiTheme="minorHAnsi" w:hAnsiTheme="minorHAnsi"/>
          <w:b/>
          <w:sz w:val="28"/>
          <w:szCs w:val="22"/>
          <w:u w:val="none"/>
        </w:rPr>
        <w:t xml:space="preserve">, Missed and Late Assignment </w:t>
      </w:r>
      <w:r w:rsidRPr="00543EA0">
        <w:rPr>
          <w:rFonts w:asciiTheme="minorHAnsi" w:hAnsiTheme="minorHAnsi"/>
          <w:b/>
          <w:sz w:val="28"/>
          <w:szCs w:val="22"/>
          <w:u w:val="none"/>
        </w:rPr>
        <w:t>Polic</w:t>
      </w:r>
      <w:r w:rsidR="00323C51">
        <w:rPr>
          <w:rFonts w:asciiTheme="minorHAnsi" w:hAnsiTheme="minorHAnsi"/>
          <w:b/>
          <w:sz w:val="28"/>
          <w:szCs w:val="22"/>
          <w:u w:val="none"/>
        </w:rPr>
        <w:t>ies</w:t>
      </w:r>
    </w:p>
    <w:p w:rsidR="00941AF4" w:rsidRPr="00941AF4" w:rsidRDefault="00F64309" w:rsidP="00941AF4">
      <w:pPr>
        <w:rPr>
          <w:rFonts w:asciiTheme="minorHAnsi" w:hAnsiTheme="minorHAnsi"/>
          <w:sz w:val="22"/>
          <w:szCs w:val="22"/>
        </w:rPr>
      </w:pPr>
      <w:r>
        <w:rPr>
          <w:rFonts w:asciiTheme="minorHAnsi" w:hAnsiTheme="minorHAnsi"/>
          <w:sz w:val="22"/>
          <w:szCs w:val="22"/>
        </w:rPr>
        <w:t>To succeed in this class</w:t>
      </w:r>
      <w:r w:rsidR="00941AF4" w:rsidRPr="00941AF4">
        <w:rPr>
          <w:rFonts w:asciiTheme="minorHAnsi" w:hAnsiTheme="minorHAnsi"/>
          <w:sz w:val="22"/>
          <w:szCs w:val="22"/>
        </w:rPr>
        <w:t xml:space="preserve">, </w:t>
      </w:r>
      <w:r w:rsidR="00941AF4" w:rsidRPr="002C5C47">
        <w:rPr>
          <w:rFonts w:asciiTheme="minorHAnsi" w:hAnsiTheme="minorHAnsi"/>
          <w:sz w:val="22"/>
          <w:szCs w:val="22"/>
          <w:u w:val="single"/>
        </w:rPr>
        <w:t xml:space="preserve">you </w:t>
      </w:r>
      <w:r w:rsidRPr="002C5C47">
        <w:rPr>
          <w:rFonts w:asciiTheme="minorHAnsi" w:hAnsiTheme="minorHAnsi"/>
          <w:sz w:val="22"/>
          <w:szCs w:val="22"/>
          <w:u w:val="single"/>
        </w:rPr>
        <w:t xml:space="preserve">absolutely must </w:t>
      </w:r>
      <w:r w:rsidR="00941AF4" w:rsidRPr="002C5C47">
        <w:rPr>
          <w:rFonts w:asciiTheme="minorHAnsi" w:hAnsiTheme="minorHAnsi"/>
          <w:sz w:val="22"/>
          <w:szCs w:val="22"/>
          <w:u w:val="single"/>
        </w:rPr>
        <w:t xml:space="preserve">attend </w:t>
      </w:r>
      <w:r w:rsidRPr="002C5C47">
        <w:rPr>
          <w:rFonts w:asciiTheme="minorHAnsi" w:hAnsiTheme="minorHAnsi"/>
          <w:sz w:val="22"/>
          <w:szCs w:val="22"/>
          <w:u w:val="single"/>
        </w:rPr>
        <w:t>all class meetings</w:t>
      </w:r>
      <w:r w:rsidR="00941AF4" w:rsidRPr="00941AF4">
        <w:rPr>
          <w:rFonts w:asciiTheme="minorHAnsi" w:hAnsiTheme="minorHAnsi"/>
          <w:sz w:val="22"/>
          <w:szCs w:val="22"/>
        </w:rPr>
        <w:t>. There will be NO MAKE-UPS FOR IN-CLASS ASSIGNMENTS</w:t>
      </w:r>
      <w:r w:rsidR="00407CAE">
        <w:rPr>
          <w:rFonts w:asciiTheme="minorHAnsi" w:hAnsiTheme="minorHAnsi"/>
          <w:sz w:val="22"/>
          <w:szCs w:val="22"/>
        </w:rPr>
        <w:t xml:space="preserve"> OR DISCUSSIONS</w:t>
      </w:r>
      <w:r w:rsidR="00941AF4" w:rsidRPr="00941AF4">
        <w:rPr>
          <w:rFonts w:asciiTheme="minorHAnsi" w:hAnsiTheme="minorHAnsi"/>
          <w:sz w:val="22"/>
          <w:szCs w:val="22"/>
        </w:rPr>
        <w:t xml:space="preserve">. If you miss the class for any reason, you will be assigned a </w:t>
      </w:r>
      <w:r w:rsidR="00941AF4">
        <w:rPr>
          <w:rFonts w:asciiTheme="minorHAnsi" w:hAnsiTheme="minorHAnsi"/>
          <w:sz w:val="22"/>
          <w:szCs w:val="22"/>
        </w:rPr>
        <w:t>zero for any missed assignments</w:t>
      </w:r>
      <w:r w:rsidR="00323C51">
        <w:rPr>
          <w:rFonts w:asciiTheme="minorHAnsi" w:hAnsiTheme="minorHAnsi"/>
          <w:sz w:val="22"/>
          <w:szCs w:val="22"/>
        </w:rPr>
        <w:t xml:space="preserve">, as well as a reduction to your attendance score. </w:t>
      </w:r>
      <w:r w:rsidR="00323C51" w:rsidRPr="00E01871">
        <w:rPr>
          <w:rFonts w:asciiTheme="minorHAnsi" w:hAnsiTheme="minorHAnsi"/>
          <w:sz w:val="22"/>
          <w:szCs w:val="22"/>
          <w:u w:val="single"/>
        </w:rPr>
        <w:t xml:space="preserve">Late </w:t>
      </w:r>
      <w:r w:rsidR="00407CAE" w:rsidRPr="00E01871">
        <w:rPr>
          <w:rFonts w:asciiTheme="minorHAnsi" w:hAnsiTheme="minorHAnsi"/>
          <w:sz w:val="22"/>
          <w:szCs w:val="22"/>
          <w:u w:val="single"/>
        </w:rPr>
        <w:t xml:space="preserve">assignments </w:t>
      </w:r>
      <w:r w:rsidR="00323C51" w:rsidRPr="00E01871">
        <w:rPr>
          <w:rFonts w:asciiTheme="minorHAnsi" w:hAnsiTheme="minorHAnsi"/>
          <w:sz w:val="22"/>
          <w:szCs w:val="22"/>
          <w:u w:val="single"/>
        </w:rPr>
        <w:t xml:space="preserve">will </w:t>
      </w:r>
      <w:r w:rsidR="00E01871" w:rsidRPr="00E01871">
        <w:rPr>
          <w:rFonts w:asciiTheme="minorHAnsi" w:hAnsiTheme="minorHAnsi"/>
          <w:sz w:val="22"/>
          <w:szCs w:val="22"/>
          <w:u w:val="single"/>
        </w:rPr>
        <w:t>not be graded.</w:t>
      </w:r>
      <w:r w:rsidR="00E01871">
        <w:rPr>
          <w:rFonts w:asciiTheme="minorHAnsi" w:hAnsiTheme="minorHAnsi"/>
          <w:sz w:val="22"/>
          <w:szCs w:val="22"/>
        </w:rPr>
        <w:t xml:space="preserve"> </w:t>
      </w:r>
      <w:r w:rsidR="0032377A">
        <w:rPr>
          <w:rFonts w:asciiTheme="minorHAnsi" w:hAnsiTheme="minorHAnsi"/>
          <w:sz w:val="22"/>
          <w:szCs w:val="22"/>
        </w:rPr>
        <w:t>If you know that your submission will be late, I encourage you to contact the instructor ahead of time to arrange for an extension if</w:t>
      </w:r>
      <w:r w:rsidR="00407CAE">
        <w:rPr>
          <w:rFonts w:asciiTheme="minorHAnsi" w:hAnsiTheme="minorHAnsi"/>
          <w:sz w:val="22"/>
          <w:szCs w:val="22"/>
        </w:rPr>
        <w:t xml:space="preserve"> your circumstances warrant it.</w:t>
      </w:r>
    </w:p>
    <w:p w:rsidR="00AE4ED9" w:rsidRPr="00543EA0" w:rsidRDefault="00AE4ED9" w:rsidP="00941AF4">
      <w:pPr>
        <w:pStyle w:val="Heading1"/>
        <w:spacing w:before="120"/>
        <w:rPr>
          <w:rFonts w:asciiTheme="minorHAnsi" w:hAnsiTheme="minorHAnsi"/>
          <w:b/>
          <w:sz w:val="28"/>
          <w:szCs w:val="22"/>
          <w:u w:val="none"/>
        </w:rPr>
      </w:pPr>
      <w:r w:rsidRPr="00543EA0">
        <w:rPr>
          <w:rFonts w:asciiTheme="minorHAnsi" w:hAnsiTheme="minorHAnsi"/>
          <w:b/>
          <w:sz w:val="28"/>
          <w:szCs w:val="22"/>
          <w:u w:val="none"/>
        </w:rPr>
        <w:t>Students with Disabilities</w:t>
      </w:r>
    </w:p>
    <w:p w:rsidR="002C5C47" w:rsidRPr="00FA654B" w:rsidRDefault="00AE4ED9" w:rsidP="005D1A2C">
      <w:pPr>
        <w:spacing w:after="120"/>
        <w:rPr>
          <w:rFonts w:asciiTheme="minorHAnsi" w:hAnsiTheme="minorHAnsi"/>
          <w:sz w:val="22"/>
          <w:szCs w:val="22"/>
        </w:rPr>
      </w:pPr>
      <w:r w:rsidRPr="00FA654B">
        <w:rPr>
          <w:rFonts w:asciiTheme="minorHAnsi" w:hAnsiTheme="minorHAnsi"/>
          <w:sz w:val="22"/>
          <w:szCs w:val="22"/>
        </w:rPr>
        <w:t xml:space="preserve">Miami University is committed to maintaining a barrier-free environment so that individuals with disabilities can fully access programs, courses, services, and activities. Students with disabilities who require accommodations for full access and participation in the course must be registered with Student Disability Services. Accommodations are available for students who have disabilities; however, accommodations can only be granted if requested through Student Disability Services (SDS). If you choose to disclose your disability to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w:t>
      </w:r>
      <w:r w:rsidRPr="00FA654B">
        <w:rPr>
          <w:rFonts w:asciiTheme="minorHAnsi" w:hAnsiTheme="minorHAnsi"/>
          <w:sz w:val="22"/>
          <w:szCs w:val="22"/>
        </w:rPr>
        <w:t xml:space="preserve"> to receive accommodations, SDS will provide you with a letter to present to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w:t>
      </w:r>
      <w:r w:rsidRPr="00FA654B">
        <w:rPr>
          <w:rFonts w:asciiTheme="minorHAnsi" w:hAnsiTheme="minorHAnsi"/>
          <w:sz w:val="22"/>
          <w:szCs w:val="22"/>
        </w:rPr>
        <w:t xml:space="preserve">. This letter will confirm that you are registered with SDS and will list reasonable accommodations recommended by SDS. You should plan to meet with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w:t>
      </w:r>
      <w:r w:rsidRPr="00FA654B">
        <w:rPr>
          <w:rFonts w:asciiTheme="minorHAnsi" w:hAnsiTheme="minorHAnsi"/>
          <w:sz w:val="22"/>
          <w:szCs w:val="22"/>
        </w:rPr>
        <w:t xml:space="preserve"> during office hours ASAP to discuss the accommodations and make sure a plan is in place. Please notify </w:t>
      </w:r>
      <w:r w:rsidR="00D94465">
        <w:rPr>
          <w:rFonts w:asciiTheme="minorHAnsi" w:hAnsiTheme="minorHAnsi"/>
          <w:sz w:val="22"/>
          <w:szCs w:val="22"/>
        </w:rPr>
        <w:t>Dr</w:t>
      </w:r>
      <w:r w:rsidR="002C5C47">
        <w:rPr>
          <w:rFonts w:asciiTheme="minorHAnsi" w:hAnsiTheme="minorHAnsi"/>
          <w:sz w:val="22"/>
          <w:szCs w:val="22"/>
        </w:rPr>
        <w:t>.</w:t>
      </w:r>
      <w:r w:rsidR="00D94465">
        <w:rPr>
          <w:rFonts w:asciiTheme="minorHAnsi" w:hAnsiTheme="minorHAnsi"/>
          <w:sz w:val="22"/>
          <w:szCs w:val="22"/>
        </w:rPr>
        <w:t xml:space="preserve"> McMurray </w:t>
      </w:r>
      <w:r w:rsidRPr="00FA654B">
        <w:rPr>
          <w:rFonts w:asciiTheme="minorHAnsi" w:hAnsiTheme="minorHAnsi"/>
          <w:sz w:val="22"/>
          <w:szCs w:val="22"/>
        </w:rPr>
        <w:t>during the first week of class if you need any accommodation for the course, or immediately after a diagnosis has been made during the semester, so that the expectations for all parties are clear. It is YOUR responsibility to initiate this process.</w:t>
      </w:r>
    </w:p>
    <w:p w:rsidR="00680FE5" w:rsidRPr="00FA654B" w:rsidRDefault="00680FE5" w:rsidP="005D1A2C">
      <w:pPr>
        <w:pStyle w:val="Heading1"/>
        <w:rPr>
          <w:rFonts w:asciiTheme="minorHAnsi" w:hAnsiTheme="minorHAnsi"/>
          <w:b/>
          <w:sz w:val="28"/>
          <w:szCs w:val="22"/>
          <w:u w:val="none"/>
        </w:rPr>
      </w:pPr>
      <w:r w:rsidRPr="00FA654B">
        <w:rPr>
          <w:rFonts w:asciiTheme="minorHAnsi" w:hAnsiTheme="minorHAnsi"/>
          <w:b/>
          <w:sz w:val="28"/>
          <w:szCs w:val="22"/>
          <w:u w:val="none"/>
        </w:rPr>
        <w:t>Other Important Notes</w:t>
      </w:r>
    </w:p>
    <w:p w:rsidR="00F068C1" w:rsidRPr="002C5C47" w:rsidRDefault="00F068C1" w:rsidP="002C5C47">
      <w:pPr>
        <w:pStyle w:val="ListParagraph"/>
        <w:numPr>
          <w:ilvl w:val="0"/>
          <w:numId w:val="48"/>
        </w:numPr>
        <w:spacing w:after="120"/>
        <w:ind w:left="180" w:hanging="180"/>
        <w:rPr>
          <w:rFonts w:asciiTheme="minorHAnsi" w:hAnsiTheme="minorHAnsi"/>
          <w:sz w:val="22"/>
          <w:szCs w:val="22"/>
        </w:rPr>
      </w:pPr>
      <w:r w:rsidRPr="002C5C47">
        <w:rPr>
          <w:rFonts w:asciiTheme="minorHAnsi" w:hAnsiTheme="minorHAnsi"/>
          <w:sz w:val="22"/>
          <w:szCs w:val="22"/>
          <w:u w:val="single"/>
        </w:rPr>
        <w:t>Cell phone use during class is prohibited.</w:t>
      </w:r>
      <w:r w:rsidRPr="002C5C47">
        <w:rPr>
          <w:rFonts w:asciiTheme="minorHAnsi" w:hAnsiTheme="minorHAnsi"/>
          <w:sz w:val="22"/>
          <w:szCs w:val="22"/>
        </w:rPr>
        <w:t> Students may be asked to leave if disruptions persist. Please put your phones into airplane mode</w:t>
      </w:r>
      <w:r w:rsidR="002B2595" w:rsidRPr="002C5C47">
        <w:rPr>
          <w:rFonts w:asciiTheme="minorHAnsi" w:hAnsiTheme="minorHAnsi"/>
          <w:sz w:val="22"/>
          <w:szCs w:val="22"/>
        </w:rPr>
        <w:t xml:space="preserve"> before entering the classroom.</w:t>
      </w:r>
    </w:p>
    <w:p w:rsidR="00407CAE" w:rsidRDefault="00F068C1" w:rsidP="002C5C47">
      <w:pPr>
        <w:pStyle w:val="ListParagraph"/>
        <w:numPr>
          <w:ilvl w:val="0"/>
          <w:numId w:val="48"/>
        </w:numPr>
        <w:ind w:left="180" w:hanging="180"/>
        <w:rPr>
          <w:rFonts w:asciiTheme="minorHAnsi" w:hAnsiTheme="minorHAnsi"/>
          <w:sz w:val="22"/>
          <w:szCs w:val="22"/>
        </w:rPr>
      </w:pPr>
      <w:r w:rsidRPr="002C5C47">
        <w:rPr>
          <w:rFonts w:asciiTheme="minorHAnsi" w:hAnsiTheme="minorHAnsi"/>
          <w:sz w:val="22"/>
          <w:szCs w:val="22"/>
        </w:rPr>
        <w:t xml:space="preserve">Communicating professionally (via email or otherwise) is one of the most important skills to develop in modern society. </w:t>
      </w:r>
      <w:r w:rsidR="00E600DE" w:rsidRPr="002C5C47">
        <w:rPr>
          <w:rFonts w:asciiTheme="minorHAnsi" w:hAnsiTheme="minorHAnsi"/>
          <w:sz w:val="22"/>
          <w:szCs w:val="22"/>
        </w:rPr>
        <w:t xml:space="preserve">The instructors </w:t>
      </w:r>
      <w:r w:rsidRPr="002C5C47">
        <w:rPr>
          <w:rFonts w:asciiTheme="minorHAnsi" w:hAnsiTheme="minorHAnsi"/>
          <w:sz w:val="22"/>
          <w:szCs w:val="22"/>
        </w:rPr>
        <w:t>expect you to use the same respect in email or online that you would in the classroom (</w:t>
      </w:r>
      <w:r w:rsidR="00407CAE">
        <w:rPr>
          <w:rFonts w:asciiTheme="minorHAnsi" w:hAnsiTheme="minorHAnsi"/>
          <w:sz w:val="22"/>
          <w:szCs w:val="22"/>
        </w:rPr>
        <w:t>both towards the instructors as well as the other students).</w:t>
      </w:r>
    </w:p>
    <w:p w:rsidR="00EF5C6E" w:rsidRDefault="00EF5C6E" w:rsidP="00EF5C6E">
      <w:pPr>
        <w:pStyle w:val="ListParagraph"/>
        <w:numPr>
          <w:ilvl w:val="0"/>
          <w:numId w:val="48"/>
        </w:numPr>
        <w:ind w:left="180" w:hanging="180"/>
        <w:rPr>
          <w:rFonts w:asciiTheme="minorHAnsi" w:hAnsiTheme="minorHAnsi"/>
          <w:sz w:val="22"/>
          <w:szCs w:val="22"/>
        </w:rPr>
      </w:pPr>
      <w:r w:rsidRPr="00EF5C6E">
        <w:rPr>
          <w:rFonts w:asciiTheme="minorHAnsi" w:hAnsiTheme="minorHAnsi"/>
          <w:sz w:val="22"/>
          <w:szCs w:val="22"/>
        </w:rPr>
        <w:t xml:space="preserve">The Psychology Department's commitment to diversity and inclusion is a philosophy we embrace in all aspects of our department's duties. We hold this value especially high in the classroom, where our faculty and graduate students have the opportunity to demonstrate our dedication to meeting the high standards we have set for ourselves. Given Miami University's commitment to delivering high quality education, we expect our classrooms' climate to be warm, inclusive, and accepting of everyone's unique life experiences for both faculty and students alike. The classroom, above all else, is an environment designed to foster learning, and there is no better way to achieve that than by being seeking to understand the worldviews and backgrounds of everyone around us. As such, we expect everyone involved </w:t>
      </w:r>
      <w:r w:rsidRPr="00EF5C6E">
        <w:rPr>
          <w:rFonts w:asciiTheme="minorHAnsi" w:hAnsiTheme="minorHAnsi"/>
          <w:sz w:val="22"/>
          <w:szCs w:val="22"/>
        </w:rPr>
        <w:lastRenderedPageBreak/>
        <w:t>in their pursuit to teach and learn to help promote awareness of unique perspectives inside the classroom, and carry these lessons outside the classroom.</w:t>
      </w:r>
    </w:p>
    <w:p w:rsidR="009A7EC3" w:rsidRDefault="00407CAE" w:rsidP="002C5C47">
      <w:pPr>
        <w:pStyle w:val="ListParagraph"/>
        <w:numPr>
          <w:ilvl w:val="0"/>
          <w:numId w:val="48"/>
        </w:numPr>
        <w:ind w:left="180" w:hanging="180"/>
        <w:rPr>
          <w:rFonts w:asciiTheme="minorHAnsi" w:hAnsiTheme="minorHAnsi"/>
          <w:sz w:val="22"/>
          <w:szCs w:val="22"/>
        </w:rPr>
      </w:pPr>
      <w:r w:rsidRPr="002C5C47">
        <w:rPr>
          <w:rFonts w:asciiTheme="minorHAnsi" w:hAnsiTheme="minorHAnsi"/>
          <w:sz w:val="22"/>
          <w:szCs w:val="22"/>
        </w:rPr>
        <w:t xml:space="preserve">Canvas will be used to make important announcements about the course. </w:t>
      </w:r>
      <w:r w:rsidR="00E600DE" w:rsidRPr="002C5C47">
        <w:rPr>
          <w:rFonts w:asciiTheme="minorHAnsi" w:hAnsiTheme="minorHAnsi"/>
          <w:sz w:val="22"/>
          <w:szCs w:val="22"/>
        </w:rPr>
        <w:t xml:space="preserve">We </w:t>
      </w:r>
      <w:r>
        <w:rPr>
          <w:rFonts w:asciiTheme="minorHAnsi" w:hAnsiTheme="minorHAnsi"/>
          <w:sz w:val="22"/>
          <w:szCs w:val="22"/>
        </w:rPr>
        <w:t xml:space="preserve">therefore </w:t>
      </w:r>
      <w:r w:rsidR="00F068C1" w:rsidRPr="002C5C47">
        <w:rPr>
          <w:rFonts w:asciiTheme="minorHAnsi" w:hAnsiTheme="minorHAnsi"/>
          <w:sz w:val="22"/>
          <w:szCs w:val="22"/>
        </w:rPr>
        <w:t>expect that you will consult this syllabus and the Canvas site for announcements </w:t>
      </w:r>
      <w:r w:rsidR="00F068C1" w:rsidRPr="002C5C47">
        <w:rPr>
          <w:rFonts w:asciiTheme="minorHAnsi" w:hAnsiTheme="minorHAnsi"/>
          <w:i/>
          <w:iCs/>
          <w:sz w:val="22"/>
          <w:szCs w:val="22"/>
        </w:rPr>
        <w:t>before </w:t>
      </w:r>
      <w:r w:rsidR="00F068C1" w:rsidRPr="002C5C47">
        <w:rPr>
          <w:rFonts w:asciiTheme="minorHAnsi" w:hAnsiTheme="minorHAnsi"/>
          <w:sz w:val="22"/>
          <w:szCs w:val="22"/>
        </w:rPr>
        <w:t xml:space="preserve">emailing </w:t>
      </w:r>
      <w:r w:rsidR="00E600DE" w:rsidRPr="002C5C47">
        <w:rPr>
          <w:rFonts w:asciiTheme="minorHAnsi" w:hAnsiTheme="minorHAnsi"/>
          <w:sz w:val="22"/>
          <w:szCs w:val="22"/>
        </w:rPr>
        <w:t>any instructors</w:t>
      </w:r>
      <w:r w:rsidR="00F068C1" w:rsidRPr="002C5C47">
        <w:rPr>
          <w:rFonts w:asciiTheme="minorHAnsi" w:hAnsiTheme="minorHAnsi"/>
          <w:sz w:val="22"/>
          <w:szCs w:val="22"/>
        </w:rPr>
        <w:t xml:space="preserve">. You should check </w:t>
      </w:r>
      <w:r>
        <w:rPr>
          <w:rFonts w:asciiTheme="minorHAnsi" w:hAnsiTheme="minorHAnsi"/>
          <w:sz w:val="22"/>
          <w:szCs w:val="22"/>
        </w:rPr>
        <w:t xml:space="preserve">canvas </w:t>
      </w:r>
      <w:r w:rsidR="00F068C1" w:rsidRPr="002C5C47">
        <w:rPr>
          <w:rFonts w:asciiTheme="minorHAnsi" w:hAnsiTheme="minorHAnsi"/>
          <w:sz w:val="22"/>
          <w:szCs w:val="22"/>
        </w:rPr>
        <w:t>at least daily. If you</w:t>
      </w:r>
      <w:r w:rsidR="00E600DE" w:rsidRPr="002C5C47">
        <w:rPr>
          <w:rFonts w:asciiTheme="minorHAnsi" w:hAnsiTheme="minorHAnsi"/>
          <w:sz w:val="22"/>
          <w:szCs w:val="22"/>
        </w:rPr>
        <w:t xml:space="preserve"> decide to email an instructor, and your email </w:t>
      </w:r>
      <w:r w:rsidR="00F068C1" w:rsidRPr="002C5C47">
        <w:rPr>
          <w:rFonts w:asciiTheme="minorHAnsi" w:hAnsiTheme="minorHAnsi"/>
          <w:sz w:val="22"/>
          <w:szCs w:val="22"/>
        </w:rPr>
        <w:t xml:space="preserve">is justified, </w:t>
      </w:r>
      <w:r>
        <w:rPr>
          <w:rFonts w:asciiTheme="minorHAnsi" w:hAnsiTheme="minorHAnsi"/>
          <w:sz w:val="22"/>
          <w:szCs w:val="22"/>
        </w:rPr>
        <w:t xml:space="preserve">the instructor </w:t>
      </w:r>
      <w:r w:rsidR="00F068C1" w:rsidRPr="002C5C47">
        <w:rPr>
          <w:rFonts w:asciiTheme="minorHAnsi" w:hAnsiTheme="minorHAnsi"/>
          <w:sz w:val="22"/>
          <w:szCs w:val="22"/>
        </w:rPr>
        <w:t xml:space="preserve">will do </w:t>
      </w:r>
      <w:r>
        <w:rPr>
          <w:rFonts w:asciiTheme="minorHAnsi" w:hAnsiTheme="minorHAnsi"/>
          <w:sz w:val="22"/>
          <w:szCs w:val="22"/>
        </w:rPr>
        <w:t xml:space="preserve">his </w:t>
      </w:r>
      <w:r w:rsidR="00F068C1" w:rsidRPr="002C5C47">
        <w:rPr>
          <w:rFonts w:asciiTheme="minorHAnsi" w:hAnsiTheme="minorHAnsi"/>
          <w:sz w:val="22"/>
          <w:szCs w:val="22"/>
        </w:rPr>
        <w:t xml:space="preserve">best to respond quickly (usually by the end of the next business day); however, because </w:t>
      </w:r>
      <w:r>
        <w:rPr>
          <w:rFonts w:asciiTheme="minorHAnsi" w:hAnsiTheme="minorHAnsi"/>
          <w:sz w:val="22"/>
          <w:szCs w:val="22"/>
        </w:rPr>
        <w:t xml:space="preserve">his </w:t>
      </w:r>
      <w:r w:rsidR="00F068C1" w:rsidRPr="002C5C47">
        <w:rPr>
          <w:rFonts w:asciiTheme="minorHAnsi" w:hAnsiTheme="minorHAnsi"/>
          <w:sz w:val="22"/>
          <w:szCs w:val="22"/>
        </w:rPr>
        <w:t xml:space="preserve">ability to answer complex questions via email isn’t perfect, don’t be alarmed if </w:t>
      </w:r>
      <w:r>
        <w:rPr>
          <w:rFonts w:asciiTheme="minorHAnsi" w:hAnsiTheme="minorHAnsi"/>
          <w:sz w:val="22"/>
          <w:szCs w:val="22"/>
        </w:rPr>
        <w:t>he</w:t>
      </w:r>
      <w:r w:rsidR="00E600DE" w:rsidRPr="002C5C47">
        <w:rPr>
          <w:rFonts w:asciiTheme="minorHAnsi" w:hAnsiTheme="minorHAnsi"/>
          <w:sz w:val="22"/>
          <w:szCs w:val="22"/>
        </w:rPr>
        <w:t xml:space="preserve"> </w:t>
      </w:r>
      <w:r w:rsidR="00F068C1" w:rsidRPr="002C5C47">
        <w:rPr>
          <w:rFonts w:asciiTheme="minorHAnsi" w:hAnsiTheme="minorHAnsi"/>
          <w:sz w:val="22"/>
          <w:szCs w:val="22"/>
        </w:rPr>
        <w:t>suggest</w:t>
      </w:r>
      <w:r>
        <w:rPr>
          <w:rFonts w:asciiTheme="minorHAnsi" w:hAnsiTheme="minorHAnsi"/>
          <w:sz w:val="22"/>
          <w:szCs w:val="22"/>
        </w:rPr>
        <w:t>s</w:t>
      </w:r>
      <w:r w:rsidR="00F068C1" w:rsidRPr="002C5C47">
        <w:rPr>
          <w:rFonts w:asciiTheme="minorHAnsi" w:hAnsiTheme="minorHAnsi"/>
          <w:sz w:val="22"/>
          <w:szCs w:val="22"/>
        </w:rPr>
        <w:t xml:space="preserve"> that you ask a question in class or </w:t>
      </w:r>
      <w:r>
        <w:rPr>
          <w:rFonts w:asciiTheme="minorHAnsi" w:hAnsiTheme="minorHAnsi"/>
          <w:sz w:val="22"/>
          <w:szCs w:val="22"/>
        </w:rPr>
        <w:t xml:space="preserve">during </w:t>
      </w:r>
      <w:r w:rsidR="00F068C1" w:rsidRPr="002C5C47">
        <w:rPr>
          <w:rFonts w:asciiTheme="minorHAnsi" w:hAnsiTheme="minorHAnsi"/>
          <w:sz w:val="22"/>
          <w:szCs w:val="22"/>
        </w:rPr>
        <w:t xml:space="preserve">office hours. Additionally, </w:t>
      </w:r>
      <w:r>
        <w:rPr>
          <w:rFonts w:asciiTheme="minorHAnsi" w:hAnsiTheme="minorHAnsi"/>
          <w:sz w:val="22"/>
          <w:szCs w:val="22"/>
        </w:rPr>
        <w:t xml:space="preserve">he </w:t>
      </w:r>
      <w:r w:rsidR="00F068C1" w:rsidRPr="002C5C47">
        <w:rPr>
          <w:rFonts w:asciiTheme="minorHAnsi" w:hAnsiTheme="minorHAnsi"/>
          <w:sz w:val="22"/>
          <w:szCs w:val="22"/>
        </w:rPr>
        <w:t xml:space="preserve">may suggest this if </w:t>
      </w:r>
      <w:r w:rsidR="00E600DE" w:rsidRPr="002C5C47">
        <w:rPr>
          <w:rFonts w:asciiTheme="minorHAnsi" w:hAnsiTheme="minorHAnsi"/>
          <w:sz w:val="22"/>
          <w:szCs w:val="22"/>
        </w:rPr>
        <w:t xml:space="preserve">we </w:t>
      </w:r>
      <w:r w:rsidR="00F068C1" w:rsidRPr="002C5C47">
        <w:rPr>
          <w:rFonts w:asciiTheme="minorHAnsi" w:hAnsiTheme="minorHAnsi"/>
          <w:sz w:val="22"/>
          <w:szCs w:val="22"/>
        </w:rPr>
        <w:t>get the same question from multiple students. </w:t>
      </w:r>
      <w:r w:rsidR="00E600DE" w:rsidRPr="002C5C47">
        <w:rPr>
          <w:rFonts w:asciiTheme="minorHAnsi" w:hAnsiTheme="minorHAnsi"/>
          <w:sz w:val="22"/>
          <w:szCs w:val="22"/>
        </w:rPr>
        <w:t>Instructors</w:t>
      </w:r>
      <w:r w:rsidR="00F068C1" w:rsidRPr="002C5C47">
        <w:rPr>
          <w:rFonts w:asciiTheme="minorHAnsi" w:hAnsiTheme="minorHAnsi"/>
          <w:sz w:val="22"/>
          <w:szCs w:val="22"/>
        </w:rPr>
        <w:t xml:space="preserve"> will not respond to email received after 9pm until the following morning, and longer delays may occur on weekends</w:t>
      </w:r>
      <w:r>
        <w:rPr>
          <w:rFonts w:asciiTheme="minorHAnsi" w:hAnsiTheme="minorHAnsi"/>
          <w:sz w:val="22"/>
          <w:szCs w:val="22"/>
        </w:rPr>
        <w:t>/holidays</w:t>
      </w:r>
      <w:r w:rsidR="00F068C1" w:rsidRPr="002C5C47">
        <w:rPr>
          <w:rFonts w:asciiTheme="minorHAnsi" w:hAnsiTheme="minorHAnsi"/>
          <w:sz w:val="22"/>
          <w:szCs w:val="22"/>
        </w:rPr>
        <w:t>.</w:t>
      </w:r>
      <w:r>
        <w:rPr>
          <w:rFonts w:asciiTheme="minorHAnsi" w:hAnsiTheme="minorHAnsi"/>
          <w:sz w:val="22"/>
          <w:szCs w:val="22"/>
        </w:rPr>
        <w:t xml:space="preserve"> Work/life balance is important.</w:t>
      </w:r>
    </w:p>
    <w:p w:rsidR="009A7EC3" w:rsidRDefault="009A7EC3" w:rsidP="009A7EC3">
      <w:r>
        <w:br w:type="page"/>
      </w:r>
    </w:p>
    <w:p w:rsidR="007113A5" w:rsidRDefault="009A7EC3" w:rsidP="009A7EC3">
      <w:pPr>
        <w:rPr>
          <w:rFonts w:asciiTheme="minorHAnsi" w:hAnsiTheme="minorHAnsi"/>
          <w:b/>
          <w:sz w:val="22"/>
          <w:szCs w:val="22"/>
        </w:rPr>
      </w:pPr>
      <w:r w:rsidRPr="009A7EC3">
        <w:rPr>
          <w:rFonts w:asciiTheme="minorHAnsi" w:hAnsiTheme="minorHAnsi"/>
          <w:b/>
          <w:sz w:val="22"/>
          <w:szCs w:val="22"/>
        </w:rPr>
        <w:lastRenderedPageBreak/>
        <w:t>Course Schedule (subject to change):</w:t>
      </w:r>
    </w:p>
    <w:p w:rsidR="00B1584D" w:rsidRPr="00B1584D" w:rsidRDefault="00B1584D" w:rsidP="009A7EC3">
      <w:pPr>
        <w:rPr>
          <w:rFonts w:asciiTheme="minorHAnsi" w:hAnsiTheme="minorHAnsi"/>
          <w:sz w:val="22"/>
          <w:szCs w:val="22"/>
        </w:rPr>
      </w:pPr>
      <w:r w:rsidRPr="00B1584D">
        <w:rPr>
          <w:rFonts w:asciiTheme="minorHAnsi" w:hAnsiTheme="minorHAnsi"/>
          <w:sz w:val="22"/>
          <w:szCs w:val="22"/>
          <w:u w:val="single"/>
        </w:rPr>
        <w:t xml:space="preserve">Note: </w:t>
      </w:r>
      <w:r>
        <w:rPr>
          <w:rFonts w:asciiTheme="minorHAnsi" w:hAnsiTheme="minorHAnsi"/>
          <w:sz w:val="22"/>
          <w:szCs w:val="22"/>
        </w:rPr>
        <w:t>T</w:t>
      </w:r>
      <w:r w:rsidRPr="00B1584D">
        <w:rPr>
          <w:rFonts w:asciiTheme="minorHAnsi" w:hAnsiTheme="minorHAnsi"/>
          <w:sz w:val="22"/>
          <w:szCs w:val="22"/>
        </w:rPr>
        <w:t xml:space="preserve">he number </w:t>
      </w:r>
      <w:r>
        <w:rPr>
          <w:rFonts w:asciiTheme="minorHAnsi" w:hAnsiTheme="minorHAnsi"/>
          <w:sz w:val="22"/>
          <w:szCs w:val="22"/>
        </w:rPr>
        <w:t xml:space="preserve">of </w:t>
      </w:r>
      <w:r w:rsidRPr="00B1584D">
        <w:rPr>
          <w:rFonts w:asciiTheme="minorHAnsi" w:hAnsiTheme="minorHAnsi"/>
          <w:sz w:val="22"/>
          <w:szCs w:val="22"/>
        </w:rPr>
        <w:t>each reading denotes the group number presenting</w:t>
      </w:r>
      <w:r>
        <w:rPr>
          <w:rFonts w:asciiTheme="minorHAnsi" w:hAnsiTheme="minorHAnsi"/>
          <w:sz w:val="22"/>
          <w:szCs w:val="22"/>
        </w:rPr>
        <w:t>. Readings without numbers are background readings.</w:t>
      </w:r>
    </w:p>
    <w:p w:rsidR="00920AD1" w:rsidRDefault="00920AD1" w:rsidP="009A7EC3">
      <w:pPr>
        <w:rPr>
          <w:rFonts w:asciiTheme="minorHAnsi" w:hAnsiTheme="minorHAnsi"/>
          <w:b/>
          <w:sz w:val="22"/>
          <w:szCs w:val="22"/>
        </w:rPr>
      </w:pPr>
    </w:p>
    <w:tbl>
      <w:tblPr>
        <w:tblW w:w="5000" w:type="pct"/>
        <w:tblLook w:val="04A0" w:firstRow="1" w:lastRow="0" w:firstColumn="1" w:lastColumn="0" w:noHBand="0" w:noVBand="1"/>
      </w:tblPr>
      <w:tblGrid>
        <w:gridCol w:w="743"/>
        <w:gridCol w:w="879"/>
        <w:gridCol w:w="4767"/>
        <w:gridCol w:w="4411"/>
      </w:tblGrid>
      <w:tr w:rsidR="009A7EC3" w:rsidRPr="002712B5" w:rsidTr="00051EFC">
        <w:trPr>
          <w:cantSplit/>
          <w:trHeight w:val="58"/>
        </w:trPr>
        <w:tc>
          <w:tcPr>
            <w:tcW w:w="344" w:type="pct"/>
            <w:tcBorders>
              <w:top w:val="nil"/>
              <w:left w:val="nil"/>
              <w:bottom w:val="single" w:sz="8" w:space="0" w:color="auto"/>
              <w:right w:val="nil"/>
            </w:tcBorders>
            <w:shd w:val="clear" w:color="000000" w:fill="A6A6A6"/>
            <w:hideMark/>
          </w:tcPr>
          <w:p w:rsidR="009A7EC3" w:rsidRPr="002712B5" w:rsidRDefault="009A7EC3" w:rsidP="00051EFC">
            <w:pPr>
              <w:rPr>
                <w:rFonts w:ascii="Calibri" w:eastAsia="Times New Roman" w:hAnsi="Calibri" w:cs="Calibri"/>
                <w:b/>
                <w:bCs/>
                <w:color w:val="000000"/>
                <w:sz w:val="22"/>
                <w:szCs w:val="22"/>
              </w:rPr>
            </w:pPr>
            <w:r w:rsidRPr="002712B5">
              <w:rPr>
                <w:rFonts w:ascii="Calibri" w:eastAsia="Times New Roman" w:hAnsi="Calibri" w:cs="Calibri"/>
                <w:b/>
                <w:bCs/>
                <w:color w:val="000000"/>
                <w:sz w:val="22"/>
                <w:szCs w:val="22"/>
              </w:rPr>
              <w:t>Week</w:t>
            </w:r>
          </w:p>
        </w:tc>
        <w:tc>
          <w:tcPr>
            <w:tcW w:w="407" w:type="pct"/>
            <w:tcBorders>
              <w:top w:val="nil"/>
              <w:left w:val="nil"/>
              <w:bottom w:val="single" w:sz="8" w:space="0" w:color="auto"/>
              <w:right w:val="nil"/>
            </w:tcBorders>
            <w:shd w:val="clear" w:color="000000" w:fill="A6A6A6"/>
            <w:hideMark/>
          </w:tcPr>
          <w:p w:rsidR="009A7EC3" w:rsidRPr="002712B5" w:rsidRDefault="009A7EC3" w:rsidP="00051EFC">
            <w:pPr>
              <w:rPr>
                <w:rFonts w:ascii="Calibri" w:eastAsia="Times New Roman" w:hAnsi="Calibri" w:cs="Calibri"/>
                <w:b/>
                <w:bCs/>
                <w:color w:val="000000"/>
                <w:sz w:val="22"/>
                <w:szCs w:val="22"/>
              </w:rPr>
            </w:pPr>
            <w:r w:rsidRPr="002712B5">
              <w:rPr>
                <w:rFonts w:ascii="Calibri" w:eastAsia="Times New Roman" w:hAnsi="Calibri" w:cs="Calibri"/>
                <w:b/>
                <w:bCs/>
                <w:color w:val="000000"/>
                <w:sz w:val="22"/>
                <w:szCs w:val="22"/>
              </w:rPr>
              <w:t>Date</w:t>
            </w:r>
          </w:p>
        </w:tc>
        <w:tc>
          <w:tcPr>
            <w:tcW w:w="2207" w:type="pct"/>
            <w:tcBorders>
              <w:top w:val="nil"/>
              <w:left w:val="nil"/>
              <w:bottom w:val="single" w:sz="8" w:space="0" w:color="auto"/>
              <w:right w:val="nil"/>
            </w:tcBorders>
            <w:shd w:val="clear" w:color="000000" w:fill="A6A6A6"/>
            <w:hideMark/>
          </w:tcPr>
          <w:p w:rsidR="009A7EC3" w:rsidRPr="002712B5" w:rsidRDefault="009A7EC3" w:rsidP="00051EFC">
            <w:pPr>
              <w:rPr>
                <w:rFonts w:ascii="Calibri" w:eastAsia="Times New Roman" w:hAnsi="Calibri" w:cs="Calibri"/>
                <w:b/>
                <w:bCs/>
                <w:color w:val="000000"/>
                <w:sz w:val="22"/>
                <w:szCs w:val="22"/>
              </w:rPr>
            </w:pPr>
            <w:r w:rsidRPr="002712B5">
              <w:rPr>
                <w:rFonts w:ascii="Calibri" w:eastAsia="Times New Roman" w:hAnsi="Calibri" w:cs="Calibri"/>
                <w:b/>
                <w:bCs/>
                <w:color w:val="000000"/>
                <w:sz w:val="22"/>
                <w:szCs w:val="22"/>
              </w:rPr>
              <w:t>Topic</w:t>
            </w:r>
          </w:p>
        </w:tc>
        <w:tc>
          <w:tcPr>
            <w:tcW w:w="2042" w:type="pct"/>
            <w:tcBorders>
              <w:top w:val="nil"/>
              <w:left w:val="nil"/>
              <w:bottom w:val="single" w:sz="8" w:space="0" w:color="auto"/>
              <w:right w:val="nil"/>
            </w:tcBorders>
            <w:shd w:val="clear" w:color="000000" w:fill="A6A6A6"/>
          </w:tcPr>
          <w:p w:rsidR="009A7EC3" w:rsidRPr="002712B5" w:rsidRDefault="009A7EC3" w:rsidP="00051EFC">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Reading</w:t>
            </w:r>
            <w:r w:rsidR="00051EFC">
              <w:rPr>
                <w:rFonts w:ascii="Calibri" w:eastAsia="Times New Roman" w:hAnsi="Calibri" w:cs="Calibri"/>
                <w:b/>
                <w:bCs/>
                <w:color w:val="000000"/>
                <w:sz w:val="22"/>
                <w:szCs w:val="22"/>
              </w:rPr>
              <w:t>s</w:t>
            </w:r>
            <w:r>
              <w:rPr>
                <w:rFonts w:ascii="Calibri" w:eastAsia="Times New Roman" w:hAnsi="Calibri" w:cs="Calibri"/>
                <w:b/>
                <w:bCs/>
                <w:color w:val="000000"/>
                <w:sz w:val="22"/>
                <w:szCs w:val="22"/>
              </w:rPr>
              <w:t xml:space="preserve"> Due</w:t>
            </w:r>
          </w:p>
        </w:tc>
      </w:tr>
      <w:tr w:rsidR="009A7EC3" w:rsidRPr="002712B5" w:rsidTr="00051EFC">
        <w:trPr>
          <w:cantSplit/>
          <w:trHeight w:val="58"/>
        </w:trPr>
        <w:tc>
          <w:tcPr>
            <w:tcW w:w="344" w:type="pct"/>
            <w:tcBorders>
              <w:top w:val="nil"/>
              <w:left w:val="nil"/>
              <w:bottom w:val="nil"/>
              <w:right w:val="nil"/>
            </w:tcBorders>
            <w:shd w:val="clear" w:color="auto" w:fill="auto"/>
            <w:hideMark/>
          </w:tcPr>
          <w:p w:rsidR="009A7EC3" w:rsidRPr="002712B5" w:rsidRDefault="009A7EC3" w:rsidP="00051EFC">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w:t>
            </w:r>
          </w:p>
        </w:tc>
        <w:tc>
          <w:tcPr>
            <w:tcW w:w="407" w:type="pct"/>
            <w:tcBorders>
              <w:top w:val="nil"/>
              <w:left w:val="nil"/>
              <w:bottom w:val="nil"/>
              <w:right w:val="nil"/>
            </w:tcBorders>
            <w:shd w:val="clear" w:color="auto" w:fill="auto"/>
            <w:hideMark/>
          </w:tcPr>
          <w:p w:rsidR="009A7EC3" w:rsidRPr="002712B5" w:rsidRDefault="009A7EC3" w:rsidP="00051EFC">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26-Aug</w:t>
            </w:r>
          </w:p>
        </w:tc>
        <w:tc>
          <w:tcPr>
            <w:tcW w:w="2207" w:type="pct"/>
            <w:tcBorders>
              <w:top w:val="nil"/>
              <w:left w:val="nil"/>
              <w:bottom w:val="nil"/>
              <w:right w:val="nil"/>
            </w:tcBorders>
            <w:shd w:val="clear" w:color="auto" w:fill="auto"/>
            <w:hideMark/>
          </w:tcPr>
          <w:p w:rsidR="009A7EC3" w:rsidRPr="002712B5" w:rsidRDefault="009A7EC3" w:rsidP="005219D2">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Introduction and Overview of PFC Anatomy</w:t>
            </w:r>
          </w:p>
        </w:tc>
        <w:tc>
          <w:tcPr>
            <w:tcW w:w="2042" w:type="pct"/>
            <w:tcBorders>
              <w:top w:val="nil"/>
              <w:left w:val="nil"/>
              <w:bottom w:val="nil"/>
              <w:right w:val="nil"/>
            </w:tcBorders>
          </w:tcPr>
          <w:p w:rsidR="00051EFC" w:rsidRDefault="0011756C" w:rsidP="00051EFC">
            <w:pPr>
              <w:rPr>
                <w:rFonts w:ascii="Calibri" w:eastAsia="Times New Roman" w:hAnsi="Calibri" w:cs="Calibri"/>
                <w:color w:val="000000"/>
                <w:sz w:val="22"/>
                <w:szCs w:val="22"/>
              </w:rPr>
            </w:pPr>
            <w:proofErr w:type="spellStart"/>
            <w:r w:rsidRPr="0011756C">
              <w:rPr>
                <w:rFonts w:ascii="Calibri" w:eastAsia="Times New Roman" w:hAnsi="Calibri" w:cs="Calibri"/>
                <w:color w:val="000000"/>
                <w:sz w:val="22"/>
                <w:szCs w:val="22"/>
              </w:rPr>
              <w:t>Carlén</w:t>
            </w:r>
            <w:proofErr w:type="spellEnd"/>
            <w:r w:rsidRPr="0011756C">
              <w:rPr>
                <w:rFonts w:ascii="Calibri" w:eastAsia="Times New Roman" w:hAnsi="Calibri" w:cs="Calibri"/>
                <w:color w:val="000000"/>
                <w:sz w:val="22"/>
                <w:szCs w:val="22"/>
              </w:rPr>
              <w:t xml:space="preserve"> 2017</w:t>
            </w:r>
          </w:p>
          <w:p w:rsidR="009A7EC3" w:rsidRDefault="00051EFC" w:rsidP="00051EFC">
            <w:pPr>
              <w:rPr>
                <w:rFonts w:ascii="Calibri" w:eastAsia="Times New Roman" w:hAnsi="Calibri" w:cs="Calibri"/>
                <w:color w:val="000000"/>
                <w:sz w:val="22"/>
                <w:szCs w:val="22"/>
              </w:rPr>
            </w:pPr>
            <w:r w:rsidRPr="00051EFC">
              <w:rPr>
                <w:rFonts w:ascii="Calibri" w:eastAsia="Times New Roman" w:hAnsi="Calibri" w:cs="Calibri"/>
                <w:color w:val="000000"/>
                <w:sz w:val="22"/>
                <w:szCs w:val="22"/>
              </w:rPr>
              <w:t>Laubach et al 2018</w:t>
            </w:r>
          </w:p>
        </w:tc>
      </w:tr>
      <w:tr w:rsidR="009A7EC3" w:rsidRPr="002712B5" w:rsidTr="00051EFC">
        <w:trPr>
          <w:cantSplit/>
          <w:trHeight w:val="58"/>
        </w:trPr>
        <w:tc>
          <w:tcPr>
            <w:tcW w:w="344" w:type="pct"/>
            <w:tcBorders>
              <w:top w:val="nil"/>
              <w:left w:val="nil"/>
              <w:bottom w:val="nil"/>
              <w:right w:val="nil"/>
            </w:tcBorders>
            <w:shd w:val="clear" w:color="auto" w:fill="F2F2F2" w:themeFill="background1" w:themeFillShade="F2"/>
            <w:hideMark/>
          </w:tcPr>
          <w:p w:rsidR="009A7EC3" w:rsidRPr="002712B5" w:rsidRDefault="009A7EC3" w:rsidP="00051EFC">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w:t>
            </w:r>
          </w:p>
        </w:tc>
        <w:tc>
          <w:tcPr>
            <w:tcW w:w="407" w:type="pct"/>
            <w:tcBorders>
              <w:top w:val="nil"/>
              <w:left w:val="nil"/>
              <w:bottom w:val="nil"/>
              <w:right w:val="nil"/>
            </w:tcBorders>
            <w:shd w:val="clear" w:color="auto" w:fill="F2F2F2" w:themeFill="background1" w:themeFillShade="F2"/>
            <w:hideMark/>
          </w:tcPr>
          <w:p w:rsidR="009A7EC3" w:rsidRPr="002712B5" w:rsidRDefault="009A7EC3" w:rsidP="00051EFC">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2-Sep</w:t>
            </w:r>
          </w:p>
        </w:tc>
        <w:tc>
          <w:tcPr>
            <w:tcW w:w="2207" w:type="pct"/>
            <w:tcBorders>
              <w:top w:val="nil"/>
              <w:left w:val="nil"/>
              <w:bottom w:val="nil"/>
              <w:right w:val="nil"/>
            </w:tcBorders>
            <w:shd w:val="clear" w:color="auto" w:fill="F2F2F2" w:themeFill="background1" w:themeFillShade="F2"/>
            <w:hideMark/>
          </w:tcPr>
          <w:p w:rsidR="009A7EC3" w:rsidRPr="002712B5" w:rsidRDefault="009A7EC3" w:rsidP="005219D2">
            <w:pPr>
              <w:ind w:left="344" w:hanging="344"/>
              <w:rPr>
                <w:rFonts w:ascii="Calibri" w:eastAsia="Times New Roman" w:hAnsi="Calibri" w:cs="Calibri"/>
                <w:color w:val="000000"/>
                <w:sz w:val="22"/>
                <w:szCs w:val="22"/>
              </w:rPr>
            </w:pPr>
            <w:r w:rsidRPr="002712B5">
              <w:rPr>
                <w:rFonts w:ascii="Calibri" w:eastAsia="Times New Roman" w:hAnsi="Calibri" w:cs="Calibri"/>
                <w:color w:val="000000"/>
                <w:sz w:val="22"/>
                <w:szCs w:val="22"/>
              </w:rPr>
              <w:t>NO CLASS!!! (Labor Day)</w:t>
            </w:r>
          </w:p>
        </w:tc>
        <w:tc>
          <w:tcPr>
            <w:tcW w:w="2042" w:type="pct"/>
            <w:tcBorders>
              <w:top w:val="nil"/>
              <w:left w:val="nil"/>
              <w:bottom w:val="nil"/>
              <w:right w:val="nil"/>
            </w:tcBorders>
            <w:shd w:val="clear" w:color="auto" w:fill="F2F2F2" w:themeFill="background1" w:themeFillShade="F2"/>
          </w:tcPr>
          <w:p w:rsidR="00051EFC" w:rsidRDefault="00051EFC" w:rsidP="00051EFC">
            <w:pPr>
              <w:rPr>
                <w:rFonts w:ascii="Calibri" w:eastAsia="Times New Roman" w:hAnsi="Calibri" w:cs="Calibri"/>
                <w:color w:val="000000"/>
                <w:sz w:val="22"/>
                <w:szCs w:val="22"/>
              </w:rPr>
            </w:pPr>
          </w:p>
          <w:p w:rsidR="00E8594E" w:rsidRPr="002712B5" w:rsidRDefault="00E8594E" w:rsidP="00051EFC">
            <w:pPr>
              <w:rPr>
                <w:rFonts w:ascii="Calibri" w:eastAsia="Times New Roman" w:hAnsi="Calibri" w:cs="Calibri"/>
                <w:color w:val="000000"/>
                <w:sz w:val="22"/>
                <w:szCs w:val="22"/>
              </w:rPr>
            </w:pPr>
          </w:p>
        </w:tc>
      </w:tr>
      <w:tr w:rsidR="00472026" w:rsidRPr="002712B5" w:rsidTr="00051EFC">
        <w:trPr>
          <w:cantSplit/>
          <w:trHeight w:val="58"/>
        </w:trPr>
        <w:tc>
          <w:tcPr>
            <w:tcW w:w="344" w:type="pct"/>
            <w:tcBorders>
              <w:top w:val="nil"/>
              <w:left w:val="nil"/>
              <w:bottom w:val="nil"/>
              <w:right w:val="nil"/>
            </w:tcBorders>
            <w:shd w:val="clear" w:color="auto" w:fill="auto"/>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3</w:t>
            </w:r>
          </w:p>
        </w:tc>
        <w:tc>
          <w:tcPr>
            <w:tcW w:w="407" w:type="pct"/>
            <w:tcBorders>
              <w:top w:val="nil"/>
              <w:left w:val="nil"/>
              <w:bottom w:val="nil"/>
              <w:right w:val="nil"/>
            </w:tcBorders>
            <w:shd w:val="clear" w:color="auto" w:fill="auto"/>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9-Sep</w:t>
            </w:r>
          </w:p>
        </w:tc>
        <w:tc>
          <w:tcPr>
            <w:tcW w:w="2207" w:type="pct"/>
            <w:tcBorders>
              <w:top w:val="nil"/>
              <w:left w:val="nil"/>
              <w:bottom w:val="nil"/>
              <w:right w:val="nil"/>
            </w:tcBorders>
            <w:shd w:val="clear" w:color="auto" w:fill="auto"/>
          </w:tcPr>
          <w:p w:rsidR="00472026" w:rsidRPr="009A7EC3" w:rsidRDefault="00472026" w:rsidP="00472026">
            <w:pPr>
              <w:ind w:left="344" w:hanging="344"/>
              <w:rPr>
                <w:rFonts w:ascii="Calibri" w:eastAsia="Times New Roman" w:hAnsi="Calibri" w:cs="Calibri"/>
                <w:bCs/>
                <w:color w:val="000000"/>
                <w:sz w:val="22"/>
                <w:szCs w:val="22"/>
              </w:rPr>
            </w:pPr>
            <w:r>
              <w:rPr>
                <w:rFonts w:ascii="Calibri" w:eastAsia="Times New Roman" w:hAnsi="Calibri" w:cs="Calibri"/>
                <w:bCs/>
                <w:color w:val="000000"/>
                <w:sz w:val="22"/>
                <w:szCs w:val="22"/>
              </w:rPr>
              <w:t>Attention</w:t>
            </w:r>
          </w:p>
        </w:tc>
        <w:tc>
          <w:tcPr>
            <w:tcW w:w="2042" w:type="pct"/>
            <w:tcBorders>
              <w:top w:val="nil"/>
              <w:left w:val="nil"/>
              <w:bottom w:val="nil"/>
              <w:right w:val="nil"/>
            </w:tcBorders>
          </w:tcPr>
          <w:p w:rsidR="00472026" w:rsidRDefault="00472026" w:rsidP="0047202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1. </w:t>
            </w:r>
            <w:proofErr w:type="spellStart"/>
            <w:r w:rsidR="0047017A">
              <w:rPr>
                <w:rFonts w:ascii="Calibri" w:eastAsia="Times New Roman" w:hAnsi="Calibri" w:cs="Calibri"/>
                <w:color w:val="000000"/>
                <w:sz w:val="22"/>
                <w:szCs w:val="22"/>
              </w:rPr>
              <w:t>Gregoriou</w:t>
            </w:r>
            <w:proofErr w:type="spellEnd"/>
            <w:r w:rsidR="0047017A">
              <w:rPr>
                <w:rFonts w:ascii="Calibri" w:eastAsia="Times New Roman" w:hAnsi="Calibri" w:cs="Calibri"/>
                <w:color w:val="000000"/>
                <w:sz w:val="22"/>
                <w:szCs w:val="22"/>
              </w:rPr>
              <w:t xml:space="preserve"> et al 2014</w:t>
            </w:r>
          </w:p>
          <w:p w:rsidR="00472026" w:rsidRPr="002712B5" w:rsidRDefault="00472026" w:rsidP="00222AD5">
            <w:pPr>
              <w:rPr>
                <w:rFonts w:ascii="Calibri" w:eastAsia="Times New Roman" w:hAnsi="Calibri" w:cs="Calibri"/>
                <w:color w:val="000000"/>
                <w:sz w:val="22"/>
                <w:szCs w:val="22"/>
              </w:rPr>
            </w:pPr>
            <w:r>
              <w:rPr>
                <w:rFonts w:ascii="Calibri" w:eastAsia="Times New Roman" w:hAnsi="Calibri" w:cs="Calibri"/>
                <w:color w:val="000000"/>
                <w:sz w:val="22"/>
                <w:szCs w:val="22"/>
              </w:rPr>
              <w:t>2.</w:t>
            </w:r>
            <w:r w:rsidRPr="00920AD1">
              <w:rPr>
                <w:rFonts w:asciiTheme="minorHAnsi" w:hAnsiTheme="minorHAnsi"/>
                <w:sz w:val="22"/>
                <w:szCs w:val="22"/>
              </w:rPr>
              <w:t xml:space="preserve"> </w:t>
            </w:r>
            <w:r w:rsidR="0047017A">
              <w:rPr>
                <w:rFonts w:asciiTheme="minorHAnsi" w:hAnsiTheme="minorHAnsi"/>
                <w:sz w:val="22"/>
                <w:szCs w:val="22"/>
              </w:rPr>
              <w:t>Nakajima et al 2019</w:t>
            </w:r>
          </w:p>
        </w:tc>
      </w:tr>
      <w:tr w:rsidR="00472026" w:rsidRPr="002712B5" w:rsidTr="00051EFC">
        <w:trPr>
          <w:cantSplit/>
          <w:trHeight w:val="58"/>
        </w:trPr>
        <w:tc>
          <w:tcPr>
            <w:tcW w:w="344" w:type="pct"/>
            <w:tcBorders>
              <w:top w:val="nil"/>
              <w:left w:val="nil"/>
              <w:right w:val="nil"/>
            </w:tcBorders>
            <w:shd w:val="clear" w:color="auto" w:fill="F2F2F2" w:themeFill="background1" w:themeFillShade="F2"/>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4</w:t>
            </w:r>
          </w:p>
        </w:tc>
        <w:tc>
          <w:tcPr>
            <w:tcW w:w="407" w:type="pct"/>
            <w:tcBorders>
              <w:top w:val="nil"/>
              <w:left w:val="nil"/>
              <w:right w:val="nil"/>
            </w:tcBorders>
            <w:shd w:val="clear" w:color="auto" w:fill="F2F2F2" w:themeFill="background1" w:themeFillShade="F2"/>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16-Sep</w:t>
            </w:r>
          </w:p>
        </w:tc>
        <w:tc>
          <w:tcPr>
            <w:tcW w:w="2207" w:type="pct"/>
            <w:tcBorders>
              <w:top w:val="nil"/>
              <w:left w:val="nil"/>
              <w:right w:val="nil"/>
            </w:tcBorders>
            <w:shd w:val="clear" w:color="auto" w:fill="F2F2F2" w:themeFill="background1" w:themeFillShade="F2"/>
          </w:tcPr>
          <w:p w:rsidR="00472026" w:rsidRPr="009A7EC3" w:rsidRDefault="00472026" w:rsidP="00472026">
            <w:pPr>
              <w:ind w:left="344" w:hanging="344"/>
              <w:rPr>
                <w:rFonts w:ascii="Calibri" w:eastAsia="Times New Roman" w:hAnsi="Calibri" w:cs="Calibri"/>
                <w:bCs/>
                <w:color w:val="000000"/>
                <w:sz w:val="22"/>
                <w:szCs w:val="22"/>
              </w:rPr>
            </w:pPr>
            <w:r>
              <w:rPr>
                <w:rFonts w:ascii="Calibri" w:eastAsia="Times New Roman" w:hAnsi="Calibri" w:cs="Calibri"/>
                <w:bCs/>
                <w:color w:val="000000"/>
                <w:sz w:val="22"/>
                <w:szCs w:val="22"/>
              </w:rPr>
              <w:t>Reward</w:t>
            </w:r>
          </w:p>
        </w:tc>
        <w:tc>
          <w:tcPr>
            <w:tcW w:w="2042" w:type="pct"/>
            <w:tcBorders>
              <w:top w:val="nil"/>
              <w:left w:val="nil"/>
              <w:right w:val="nil"/>
            </w:tcBorders>
            <w:shd w:val="clear" w:color="auto" w:fill="F2F2F2" w:themeFill="background1" w:themeFillShade="F2"/>
          </w:tcPr>
          <w:p w:rsidR="00472026" w:rsidRDefault="00472026" w:rsidP="00472026">
            <w:pPr>
              <w:rPr>
                <w:rFonts w:ascii="Calibri" w:eastAsia="Times New Roman" w:hAnsi="Calibri" w:cs="Calibri"/>
                <w:color w:val="000000"/>
                <w:sz w:val="22"/>
                <w:szCs w:val="22"/>
              </w:rPr>
            </w:pPr>
            <w:r>
              <w:rPr>
                <w:rFonts w:ascii="Calibri" w:eastAsia="Times New Roman" w:hAnsi="Calibri" w:cs="Calibri"/>
                <w:color w:val="000000"/>
                <w:sz w:val="22"/>
                <w:szCs w:val="22"/>
              </w:rPr>
              <w:t>3.</w:t>
            </w:r>
            <w:r w:rsidR="0047017A">
              <w:rPr>
                <w:rFonts w:ascii="Calibri" w:eastAsia="Times New Roman" w:hAnsi="Calibri" w:cs="Calibri"/>
                <w:color w:val="000000"/>
                <w:sz w:val="22"/>
                <w:szCs w:val="22"/>
              </w:rPr>
              <w:t xml:space="preserve"> Otis et al 2017</w:t>
            </w:r>
          </w:p>
          <w:p w:rsidR="00472026" w:rsidRDefault="00472026" w:rsidP="0047202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4. </w:t>
            </w:r>
            <w:r w:rsidR="00D917FA" w:rsidRPr="00D917FA">
              <w:rPr>
                <w:rFonts w:ascii="Calibri" w:eastAsia="Times New Roman" w:hAnsi="Calibri" w:cs="Calibri"/>
                <w:color w:val="000000"/>
                <w:sz w:val="22"/>
                <w:szCs w:val="22"/>
              </w:rPr>
              <w:t>Ferenczi et al 2016</w:t>
            </w:r>
          </w:p>
        </w:tc>
      </w:tr>
      <w:tr w:rsidR="00472026" w:rsidRPr="002712B5" w:rsidTr="00051EFC">
        <w:trPr>
          <w:cantSplit/>
          <w:trHeight w:val="58"/>
        </w:trPr>
        <w:tc>
          <w:tcPr>
            <w:tcW w:w="344" w:type="pct"/>
            <w:tcBorders>
              <w:top w:val="nil"/>
              <w:left w:val="nil"/>
              <w:right w:val="nil"/>
            </w:tcBorders>
            <w:shd w:val="clear" w:color="auto" w:fill="auto"/>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5</w:t>
            </w:r>
          </w:p>
        </w:tc>
        <w:tc>
          <w:tcPr>
            <w:tcW w:w="407" w:type="pct"/>
            <w:tcBorders>
              <w:top w:val="nil"/>
              <w:left w:val="nil"/>
              <w:right w:val="nil"/>
            </w:tcBorders>
            <w:shd w:val="clear" w:color="auto" w:fill="auto"/>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23-Sep</w:t>
            </w:r>
          </w:p>
        </w:tc>
        <w:tc>
          <w:tcPr>
            <w:tcW w:w="2207" w:type="pct"/>
            <w:tcBorders>
              <w:top w:val="nil"/>
              <w:left w:val="nil"/>
              <w:right w:val="nil"/>
            </w:tcBorders>
            <w:shd w:val="clear" w:color="auto" w:fill="auto"/>
          </w:tcPr>
          <w:p w:rsidR="00472026" w:rsidRPr="00051EFC" w:rsidRDefault="00472026" w:rsidP="00472026">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Presentation and feedback on Specific Aims</w:t>
            </w:r>
          </w:p>
        </w:tc>
        <w:tc>
          <w:tcPr>
            <w:tcW w:w="2042" w:type="pct"/>
            <w:tcBorders>
              <w:top w:val="nil"/>
              <w:left w:val="nil"/>
              <w:right w:val="nil"/>
            </w:tcBorders>
          </w:tcPr>
          <w:p w:rsidR="00472026" w:rsidRDefault="00472026" w:rsidP="00472026">
            <w:pPr>
              <w:rPr>
                <w:rFonts w:ascii="Calibri" w:eastAsia="Times New Roman" w:hAnsi="Calibri" w:cs="Calibri"/>
                <w:color w:val="000000"/>
                <w:sz w:val="22"/>
                <w:szCs w:val="22"/>
              </w:rPr>
            </w:pPr>
            <w:r>
              <w:rPr>
                <w:rFonts w:ascii="Calibri" w:eastAsia="Times New Roman" w:hAnsi="Calibri" w:cs="Calibri"/>
                <w:color w:val="000000"/>
                <w:sz w:val="22"/>
                <w:szCs w:val="22"/>
              </w:rPr>
              <w:t>-</w:t>
            </w:r>
          </w:p>
          <w:p w:rsidR="00472026" w:rsidRPr="002712B5" w:rsidRDefault="00472026" w:rsidP="00472026">
            <w:pPr>
              <w:rPr>
                <w:rFonts w:ascii="Calibri" w:eastAsia="Times New Roman" w:hAnsi="Calibri" w:cs="Calibri"/>
                <w:color w:val="000000"/>
                <w:sz w:val="22"/>
                <w:szCs w:val="22"/>
              </w:rPr>
            </w:pPr>
          </w:p>
        </w:tc>
      </w:tr>
      <w:tr w:rsidR="00472026" w:rsidRPr="002712B5" w:rsidTr="00051EFC">
        <w:trPr>
          <w:cantSplit/>
          <w:trHeight w:val="58"/>
        </w:trPr>
        <w:tc>
          <w:tcPr>
            <w:tcW w:w="344" w:type="pct"/>
            <w:tcBorders>
              <w:left w:val="nil"/>
              <w:bottom w:val="nil"/>
              <w:right w:val="nil"/>
            </w:tcBorders>
            <w:shd w:val="clear" w:color="auto" w:fill="F2F2F2" w:themeFill="background1" w:themeFillShade="F2"/>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6</w:t>
            </w:r>
          </w:p>
        </w:tc>
        <w:tc>
          <w:tcPr>
            <w:tcW w:w="407" w:type="pct"/>
            <w:tcBorders>
              <w:left w:val="nil"/>
              <w:bottom w:val="nil"/>
              <w:right w:val="nil"/>
            </w:tcBorders>
            <w:shd w:val="clear" w:color="auto" w:fill="F2F2F2" w:themeFill="background1" w:themeFillShade="F2"/>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30-Sep</w:t>
            </w:r>
          </w:p>
        </w:tc>
        <w:tc>
          <w:tcPr>
            <w:tcW w:w="2207" w:type="pct"/>
            <w:tcBorders>
              <w:left w:val="nil"/>
              <w:bottom w:val="nil"/>
              <w:right w:val="nil"/>
            </w:tcBorders>
            <w:shd w:val="clear" w:color="auto" w:fill="F2F2F2" w:themeFill="background1" w:themeFillShade="F2"/>
          </w:tcPr>
          <w:p w:rsidR="00472026" w:rsidRPr="002712B5" w:rsidRDefault="00472026" w:rsidP="00472026">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Memory I</w:t>
            </w:r>
          </w:p>
        </w:tc>
        <w:tc>
          <w:tcPr>
            <w:tcW w:w="2042" w:type="pct"/>
            <w:tcBorders>
              <w:left w:val="nil"/>
              <w:bottom w:val="nil"/>
              <w:right w:val="nil"/>
            </w:tcBorders>
            <w:shd w:val="clear" w:color="auto" w:fill="F2F2F2" w:themeFill="background1" w:themeFillShade="F2"/>
          </w:tcPr>
          <w:p w:rsidR="00472026" w:rsidRDefault="00472026" w:rsidP="00472026">
            <w:pPr>
              <w:rPr>
                <w:rFonts w:ascii="Calibri" w:eastAsia="Times New Roman" w:hAnsi="Calibri" w:cs="Calibri"/>
                <w:color w:val="000000"/>
                <w:sz w:val="22"/>
                <w:szCs w:val="22"/>
              </w:rPr>
            </w:pPr>
            <w:r>
              <w:rPr>
                <w:rFonts w:ascii="Calibri" w:eastAsia="Times New Roman" w:hAnsi="Calibri" w:cs="Calibri"/>
                <w:color w:val="000000"/>
                <w:sz w:val="22"/>
                <w:szCs w:val="22"/>
              </w:rPr>
              <w:t>5.</w:t>
            </w:r>
            <w:r w:rsidR="009F657A">
              <w:t xml:space="preserve"> </w:t>
            </w:r>
            <w:r w:rsidR="009F657A" w:rsidRPr="009F657A">
              <w:rPr>
                <w:rFonts w:ascii="Calibri" w:eastAsia="Times New Roman" w:hAnsi="Calibri" w:cs="Calibri"/>
                <w:color w:val="000000"/>
                <w:sz w:val="22"/>
                <w:szCs w:val="22"/>
              </w:rPr>
              <w:t>Namboodiri et al 2019</w:t>
            </w:r>
          </w:p>
          <w:p w:rsidR="00472026" w:rsidRPr="002712B5" w:rsidRDefault="00472026" w:rsidP="00222AD5">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1. </w:t>
            </w:r>
            <w:r w:rsidR="009F657A" w:rsidRPr="009F657A">
              <w:rPr>
                <w:rFonts w:ascii="Calibri" w:eastAsia="Times New Roman" w:hAnsi="Calibri" w:cs="Calibri"/>
                <w:color w:val="000000"/>
                <w:sz w:val="22"/>
                <w:szCs w:val="22"/>
              </w:rPr>
              <w:t>Kitamura et al 2017</w:t>
            </w:r>
          </w:p>
        </w:tc>
      </w:tr>
      <w:tr w:rsidR="00472026" w:rsidRPr="002712B5" w:rsidTr="00051EFC">
        <w:trPr>
          <w:cantSplit/>
          <w:trHeight w:val="58"/>
        </w:trPr>
        <w:tc>
          <w:tcPr>
            <w:tcW w:w="344" w:type="pct"/>
            <w:tcBorders>
              <w:top w:val="nil"/>
              <w:left w:val="nil"/>
              <w:bottom w:val="nil"/>
              <w:right w:val="nil"/>
            </w:tcBorders>
            <w:shd w:val="clear" w:color="auto" w:fill="auto"/>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7</w:t>
            </w:r>
          </w:p>
        </w:tc>
        <w:tc>
          <w:tcPr>
            <w:tcW w:w="407" w:type="pct"/>
            <w:tcBorders>
              <w:top w:val="nil"/>
              <w:left w:val="nil"/>
              <w:bottom w:val="nil"/>
              <w:right w:val="nil"/>
            </w:tcBorders>
            <w:shd w:val="clear" w:color="auto" w:fill="auto"/>
            <w:hideMark/>
          </w:tcPr>
          <w:p w:rsidR="00472026" w:rsidRPr="002712B5" w:rsidRDefault="00472026" w:rsidP="00472026">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7-Oct</w:t>
            </w:r>
          </w:p>
        </w:tc>
        <w:tc>
          <w:tcPr>
            <w:tcW w:w="2207" w:type="pct"/>
            <w:tcBorders>
              <w:top w:val="nil"/>
              <w:left w:val="nil"/>
              <w:bottom w:val="nil"/>
              <w:right w:val="nil"/>
            </w:tcBorders>
            <w:shd w:val="clear" w:color="auto" w:fill="auto"/>
          </w:tcPr>
          <w:p w:rsidR="00472026" w:rsidRPr="002712B5" w:rsidRDefault="00472026" w:rsidP="00472026">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Memory II</w:t>
            </w:r>
          </w:p>
        </w:tc>
        <w:tc>
          <w:tcPr>
            <w:tcW w:w="2042" w:type="pct"/>
            <w:tcBorders>
              <w:top w:val="nil"/>
              <w:left w:val="nil"/>
              <w:bottom w:val="nil"/>
              <w:right w:val="nil"/>
            </w:tcBorders>
          </w:tcPr>
          <w:p w:rsidR="00472026" w:rsidRPr="00051EFC" w:rsidRDefault="00472026" w:rsidP="00472026">
            <w:pPr>
              <w:rPr>
                <w:rFonts w:ascii="Calibri" w:eastAsia="Times New Roman" w:hAnsi="Calibri" w:cs="Calibri"/>
                <w:bCs/>
                <w:color w:val="000000"/>
                <w:sz w:val="22"/>
                <w:szCs w:val="22"/>
              </w:rPr>
            </w:pPr>
            <w:r>
              <w:rPr>
                <w:rFonts w:ascii="Calibri" w:eastAsia="Times New Roman" w:hAnsi="Calibri" w:cs="Calibri"/>
                <w:bCs/>
                <w:color w:val="000000"/>
                <w:sz w:val="22"/>
                <w:szCs w:val="22"/>
              </w:rPr>
              <w:t>2</w:t>
            </w:r>
            <w:r w:rsidRPr="00051EFC">
              <w:rPr>
                <w:rFonts w:ascii="Calibri" w:eastAsia="Times New Roman" w:hAnsi="Calibri" w:cs="Calibri"/>
                <w:bCs/>
                <w:color w:val="000000"/>
                <w:sz w:val="22"/>
                <w:szCs w:val="22"/>
              </w:rPr>
              <w:t>.</w:t>
            </w:r>
            <w:r w:rsidR="00B260AB">
              <w:rPr>
                <w:rFonts w:ascii="Calibri" w:eastAsia="Times New Roman" w:hAnsi="Calibri" w:cs="Calibri"/>
                <w:bCs/>
                <w:color w:val="000000"/>
                <w:sz w:val="22"/>
                <w:szCs w:val="22"/>
              </w:rPr>
              <w:t xml:space="preserve"> Finn et al 2019</w:t>
            </w:r>
          </w:p>
          <w:p w:rsidR="00472026" w:rsidRPr="00051EFC" w:rsidRDefault="00472026" w:rsidP="00472026">
            <w:pPr>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3. </w:t>
            </w:r>
            <w:r w:rsidR="00B260AB">
              <w:rPr>
                <w:rFonts w:ascii="Calibri" w:eastAsia="Times New Roman" w:hAnsi="Calibri" w:cs="Calibri"/>
                <w:bCs/>
                <w:color w:val="000000"/>
                <w:sz w:val="22"/>
                <w:szCs w:val="22"/>
              </w:rPr>
              <w:t>Euston et al 2007</w:t>
            </w:r>
          </w:p>
        </w:tc>
      </w:tr>
      <w:tr w:rsidR="009A1FED" w:rsidRPr="002712B5" w:rsidTr="00051EFC">
        <w:trPr>
          <w:cantSplit/>
          <w:trHeight w:val="58"/>
        </w:trPr>
        <w:tc>
          <w:tcPr>
            <w:tcW w:w="344"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8</w:t>
            </w:r>
          </w:p>
        </w:tc>
        <w:tc>
          <w:tcPr>
            <w:tcW w:w="407"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14-Oct</w:t>
            </w:r>
          </w:p>
        </w:tc>
        <w:tc>
          <w:tcPr>
            <w:tcW w:w="2207" w:type="pct"/>
            <w:tcBorders>
              <w:top w:val="nil"/>
              <w:left w:val="nil"/>
              <w:bottom w:val="nil"/>
              <w:right w:val="nil"/>
            </w:tcBorders>
            <w:shd w:val="clear" w:color="auto" w:fill="F2F2F2" w:themeFill="background1" w:themeFillShade="F2"/>
          </w:tcPr>
          <w:p w:rsidR="009A1FED" w:rsidRPr="002712B5" w:rsidRDefault="009A1FED" w:rsidP="009A1FED">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Inhibition</w:t>
            </w:r>
          </w:p>
        </w:tc>
        <w:tc>
          <w:tcPr>
            <w:tcW w:w="2042" w:type="pct"/>
            <w:tcBorders>
              <w:top w:val="nil"/>
              <w:left w:val="nil"/>
              <w:bottom w:val="nil"/>
              <w:right w:val="nil"/>
            </w:tcBorders>
            <w:shd w:val="clear" w:color="auto" w:fill="F2F2F2" w:themeFill="background1" w:themeFillShade="F2"/>
          </w:tcPr>
          <w:p w:rsidR="009A1FED" w:rsidRPr="00FE27FC" w:rsidRDefault="00075B5B"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3</w:t>
            </w:r>
            <w:r w:rsidR="009A1FED" w:rsidRPr="00FE27FC">
              <w:rPr>
                <w:rFonts w:ascii="Calibri" w:eastAsia="Times New Roman" w:hAnsi="Calibri" w:cs="Calibri"/>
                <w:color w:val="000000"/>
                <w:sz w:val="22"/>
                <w:szCs w:val="22"/>
              </w:rPr>
              <w:t>.</w:t>
            </w:r>
            <w:r w:rsidR="00B260AB" w:rsidRPr="00FE27FC">
              <w:rPr>
                <w:rFonts w:ascii="Calibri" w:eastAsia="Times New Roman" w:hAnsi="Calibri" w:cs="Calibri"/>
                <w:color w:val="000000"/>
                <w:sz w:val="22"/>
                <w:szCs w:val="22"/>
              </w:rPr>
              <w:t xml:space="preserve"> Lemire-Rodger et al 2011</w:t>
            </w:r>
          </w:p>
          <w:p w:rsidR="009A1FED" w:rsidRPr="00FE27FC" w:rsidRDefault="009A1FED"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 xml:space="preserve">5. </w:t>
            </w:r>
            <w:r w:rsidR="00B260AB" w:rsidRPr="00FE27FC">
              <w:rPr>
                <w:rFonts w:ascii="Calibri" w:eastAsia="Times New Roman" w:hAnsi="Calibri" w:cs="Calibri"/>
                <w:color w:val="000000"/>
                <w:sz w:val="22"/>
                <w:szCs w:val="22"/>
              </w:rPr>
              <w:t>Yan et al 2019</w:t>
            </w:r>
          </w:p>
        </w:tc>
      </w:tr>
      <w:tr w:rsidR="009A1FED" w:rsidRPr="002712B5" w:rsidTr="00051EFC">
        <w:trPr>
          <w:cantSplit/>
          <w:trHeight w:val="58"/>
        </w:trPr>
        <w:tc>
          <w:tcPr>
            <w:tcW w:w="344"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9</w:t>
            </w:r>
          </w:p>
        </w:tc>
        <w:tc>
          <w:tcPr>
            <w:tcW w:w="407"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21-Oct</w:t>
            </w:r>
          </w:p>
        </w:tc>
        <w:tc>
          <w:tcPr>
            <w:tcW w:w="2207" w:type="pct"/>
            <w:tcBorders>
              <w:top w:val="nil"/>
              <w:left w:val="nil"/>
              <w:bottom w:val="nil"/>
              <w:right w:val="nil"/>
            </w:tcBorders>
            <w:shd w:val="clear" w:color="auto" w:fill="auto"/>
          </w:tcPr>
          <w:p w:rsidR="009A1FED" w:rsidRPr="002712B5" w:rsidRDefault="009A1FED" w:rsidP="009A1FED">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No Class</w:t>
            </w:r>
          </w:p>
        </w:tc>
        <w:tc>
          <w:tcPr>
            <w:tcW w:w="2042" w:type="pct"/>
            <w:tcBorders>
              <w:top w:val="nil"/>
              <w:left w:val="nil"/>
              <w:bottom w:val="nil"/>
              <w:right w:val="nil"/>
            </w:tcBorders>
          </w:tcPr>
          <w:p w:rsidR="009A1FED" w:rsidRPr="00FE27FC" w:rsidRDefault="009A1FED" w:rsidP="009A1FED">
            <w:pPr>
              <w:rPr>
                <w:rFonts w:ascii="Calibri" w:eastAsia="Times New Roman" w:hAnsi="Calibri" w:cs="Calibri"/>
                <w:color w:val="000000"/>
                <w:sz w:val="22"/>
                <w:szCs w:val="22"/>
              </w:rPr>
            </w:pPr>
          </w:p>
        </w:tc>
      </w:tr>
      <w:tr w:rsidR="009A1FED" w:rsidRPr="002712B5" w:rsidTr="00051EFC">
        <w:trPr>
          <w:cantSplit/>
          <w:trHeight w:val="58"/>
        </w:trPr>
        <w:tc>
          <w:tcPr>
            <w:tcW w:w="344"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10</w:t>
            </w:r>
          </w:p>
        </w:tc>
        <w:tc>
          <w:tcPr>
            <w:tcW w:w="407"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28-Oct</w:t>
            </w:r>
          </w:p>
        </w:tc>
        <w:tc>
          <w:tcPr>
            <w:tcW w:w="2207" w:type="pct"/>
            <w:tcBorders>
              <w:top w:val="nil"/>
              <w:left w:val="nil"/>
              <w:bottom w:val="nil"/>
              <w:right w:val="nil"/>
            </w:tcBorders>
            <w:shd w:val="clear" w:color="auto" w:fill="F2F2F2" w:themeFill="background1" w:themeFillShade="F2"/>
          </w:tcPr>
          <w:p w:rsidR="009A1FED" w:rsidRPr="00051EFC" w:rsidRDefault="009A1FED" w:rsidP="009A1FED">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Decision-Making I</w:t>
            </w:r>
          </w:p>
        </w:tc>
        <w:tc>
          <w:tcPr>
            <w:tcW w:w="2042" w:type="pct"/>
            <w:tcBorders>
              <w:top w:val="nil"/>
              <w:left w:val="nil"/>
              <w:bottom w:val="nil"/>
              <w:right w:val="nil"/>
            </w:tcBorders>
            <w:shd w:val="clear" w:color="auto" w:fill="F2F2F2" w:themeFill="background1" w:themeFillShade="F2"/>
          </w:tcPr>
          <w:p w:rsidR="009A1FED" w:rsidRPr="00FE27FC" w:rsidRDefault="009A1FED"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1.</w:t>
            </w:r>
            <w:r w:rsidR="00482CE7" w:rsidRPr="00FE27FC">
              <w:rPr>
                <w:rFonts w:ascii="Calibri" w:eastAsia="Times New Roman" w:hAnsi="Calibri" w:cs="Calibri"/>
                <w:color w:val="000000"/>
                <w:sz w:val="22"/>
                <w:szCs w:val="22"/>
              </w:rPr>
              <w:t xml:space="preserve"> Hunt et al 2018</w:t>
            </w:r>
          </w:p>
          <w:p w:rsidR="009A1FED" w:rsidRPr="00FE27FC" w:rsidRDefault="009A1FED"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 xml:space="preserve">2. </w:t>
            </w:r>
            <w:proofErr w:type="spellStart"/>
            <w:r w:rsidR="00482CE7" w:rsidRPr="00FE27FC">
              <w:rPr>
                <w:rFonts w:ascii="Calibri" w:eastAsia="Times New Roman" w:hAnsi="Calibri" w:cs="Calibri"/>
                <w:color w:val="000000"/>
                <w:sz w:val="22"/>
                <w:szCs w:val="22"/>
              </w:rPr>
              <w:t>Fouragnan</w:t>
            </w:r>
            <w:proofErr w:type="spellEnd"/>
            <w:r w:rsidR="00482CE7" w:rsidRPr="00FE27FC">
              <w:rPr>
                <w:rFonts w:ascii="Calibri" w:eastAsia="Times New Roman" w:hAnsi="Calibri" w:cs="Calibri"/>
                <w:color w:val="000000"/>
                <w:sz w:val="22"/>
                <w:szCs w:val="22"/>
              </w:rPr>
              <w:t xml:space="preserve"> et al 2019</w:t>
            </w:r>
          </w:p>
        </w:tc>
      </w:tr>
      <w:tr w:rsidR="009A1FED" w:rsidRPr="002712B5" w:rsidTr="00051EFC">
        <w:trPr>
          <w:cantSplit/>
          <w:trHeight w:val="58"/>
        </w:trPr>
        <w:tc>
          <w:tcPr>
            <w:tcW w:w="344"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11</w:t>
            </w:r>
          </w:p>
        </w:tc>
        <w:tc>
          <w:tcPr>
            <w:tcW w:w="407"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4-Nov</w:t>
            </w:r>
          </w:p>
        </w:tc>
        <w:tc>
          <w:tcPr>
            <w:tcW w:w="2207" w:type="pct"/>
            <w:tcBorders>
              <w:top w:val="nil"/>
              <w:left w:val="nil"/>
              <w:bottom w:val="nil"/>
              <w:right w:val="nil"/>
            </w:tcBorders>
            <w:shd w:val="clear" w:color="auto" w:fill="auto"/>
          </w:tcPr>
          <w:p w:rsidR="009A1FED" w:rsidRPr="009A7EC3" w:rsidRDefault="009A1FED" w:rsidP="009A1FED">
            <w:pPr>
              <w:ind w:left="344" w:hanging="344"/>
              <w:rPr>
                <w:rFonts w:ascii="Calibri" w:eastAsia="Times New Roman" w:hAnsi="Calibri" w:cs="Calibri"/>
                <w:bCs/>
                <w:color w:val="000000"/>
                <w:sz w:val="22"/>
                <w:szCs w:val="22"/>
              </w:rPr>
            </w:pPr>
            <w:r>
              <w:rPr>
                <w:rFonts w:ascii="Calibri" w:eastAsia="Times New Roman" w:hAnsi="Calibri" w:cs="Calibri"/>
                <w:color w:val="000000"/>
                <w:sz w:val="22"/>
                <w:szCs w:val="22"/>
              </w:rPr>
              <w:t>Decision-Making II</w:t>
            </w:r>
          </w:p>
        </w:tc>
        <w:tc>
          <w:tcPr>
            <w:tcW w:w="2042" w:type="pct"/>
            <w:tcBorders>
              <w:top w:val="nil"/>
              <w:left w:val="nil"/>
              <w:bottom w:val="nil"/>
              <w:right w:val="nil"/>
            </w:tcBorders>
          </w:tcPr>
          <w:p w:rsidR="009A1FED" w:rsidRPr="00FE27FC" w:rsidRDefault="00075B5B"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4</w:t>
            </w:r>
            <w:r w:rsidR="009A1FED" w:rsidRPr="00FE27FC">
              <w:rPr>
                <w:rFonts w:ascii="Calibri" w:eastAsia="Times New Roman" w:hAnsi="Calibri" w:cs="Calibri"/>
                <w:color w:val="000000"/>
                <w:sz w:val="22"/>
                <w:szCs w:val="22"/>
              </w:rPr>
              <w:t>.</w:t>
            </w:r>
            <w:r w:rsidR="007A6099">
              <w:rPr>
                <w:rFonts w:ascii="Calibri" w:eastAsia="Times New Roman" w:hAnsi="Calibri" w:cs="Calibri"/>
                <w:color w:val="000000"/>
                <w:sz w:val="22"/>
                <w:szCs w:val="22"/>
              </w:rPr>
              <w:t xml:space="preserve"> </w:t>
            </w:r>
            <w:proofErr w:type="spellStart"/>
            <w:r w:rsidR="007A6099" w:rsidRPr="007A6099">
              <w:rPr>
                <w:rFonts w:ascii="Calibri" w:eastAsia="Times New Roman" w:hAnsi="Calibri" w:cs="Calibri"/>
                <w:color w:val="000000"/>
                <w:sz w:val="22"/>
                <w:szCs w:val="22"/>
              </w:rPr>
              <w:t>Passecker</w:t>
            </w:r>
            <w:proofErr w:type="spellEnd"/>
            <w:r w:rsidR="007A6099" w:rsidRPr="007A6099">
              <w:rPr>
                <w:rFonts w:ascii="Calibri" w:eastAsia="Times New Roman" w:hAnsi="Calibri" w:cs="Calibri"/>
                <w:color w:val="000000"/>
                <w:sz w:val="22"/>
                <w:szCs w:val="22"/>
              </w:rPr>
              <w:t xml:space="preserve"> et al 2019</w:t>
            </w:r>
          </w:p>
          <w:p w:rsidR="009A1FED" w:rsidRPr="00FE27FC" w:rsidRDefault="009A1FED"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 xml:space="preserve">4. </w:t>
            </w:r>
            <w:proofErr w:type="spellStart"/>
            <w:r w:rsidR="00D4409B" w:rsidRPr="00D4409B">
              <w:rPr>
                <w:rFonts w:ascii="Calibri" w:eastAsia="Times New Roman" w:hAnsi="Calibri" w:cs="Calibri"/>
                <w:color w:val="000000"/>
                <w:sz w:val="22"/>
                <w:szCs w:val="22"/>
              </w:rPr>
              <w:t>Massi</w:t>
            </w:r>
            <w:proofErr w:type="spellEnd"/>
            <w:r w:rsidR="00D4409B" w:rsidRPr="00D4409B">
              <w:rPr>
                <w:rFonts w:ascii="Calibri" w:eastAsia="Times New Roman" w:hAnsi="Calibri" w:cs="Calibri"/>
                <w:color w:val="000000"/>
                <w:sz w:val="22"/>
                <w:szCs w:val="22"/>
              </w:rPr>
              <w:t xml:space="preserve"> et al 2018</w:t>
            </w:r>
          </w:p>
        </w:tc>
      </w:tr>
      <w:tr w:rsidR="009A1FED" w:rsidRPr="002712B5" w:rsidTr="00051EFC">
        <w:trPr>
          <w:cantSplit/>
          <w:trHeight w:val="58"/>
        </w:trPr>
        <w:tc>
          <w:tcPr>
            <w:tcW w:w="344"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12</w:t>
            </w:r>
          </w:p>
        </w:tc>
        <w:tc>
          <w:tcPr>
            <w:tcW w:w="407"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11-Nov</w:t>
            </w:r>
          </w:p>
        </w:tc>
        <w:tc>
          <w:tcPr>
            <w:tcW w:w="2207" w:type="pct"/>
            <w:tcBorders>
              <w:top w:val="nil"/>
              <w:left w:val="nil"/>
              <w:bottom w:val="nil"/>
              <w:right w:val="nil"/>
            </w:tcBorders>
            <w:shd w:val="clear" w:color="auto" w:fill="F2F2F2" w:themeFill="background1" w:themeFillShade="F2"/>
          </w:tcPr>
          <w:p w:rsidR="009A1FED" w:rsidRPr="009A7EC3" w:rsidRDefault="009A1FED" w:rsidP="009E425D">
            <w:pPr>
              <w:ind w:left="344" w:hanging="344"/>
              <w:rPr>
                <w:rFonts w:ascii="Calibri" w:eastAsia="Times New Roman" w:hAnsi="Calibri" w:cs="Calibri"/>
                <w:bCs/>
                <w:color w:val="000000"/>
                <w:sz w:val="22"/>
                <w:szCs w:val="22"/>
              </w:rPr>
            </w:pPr>
            <w:r>
              <w:rPr>
                <w:rFonts w:ascii="Calibri" w:eastAsia="Times New Roman" w:hAnsi="Calibri" w:cs="Calibri"/>
                <w:color w:val="000000"/>
                <w:sz w:val="22"/>
                <w:szCs w:val="22"/>
              </w:rPr>
              <w:t>Grant Review Process</w:t>
            </w:r>
          </w:p>
        </w:tc>
        <w:tc>
          <w:tcPr>
            <w:tcW w:w="2042" w:type="pct"/>
            <w:tcBorders>
              <w:top w:val="nil"/>
              <w:left w:val="nil"/>
              <w:bottom w:val="nil"/>
              <w:right w:val="nil"/>
            </w:tcBorders>
            <w:shd w:val="clear" w:color="auto" w:fill="F2F2F2" w:themeFill="background1" w:themeFillShade="F2"/>
          </w:tcPr>
          <w:p w:rsidR="009A1FED" w:rsidRPr="00FE27FC" w:rsidRDefault="009A1FED" w:rsidP="009A1FED">
            <w:pPr>
              <w:rPr>
                <w:rFonts w:ascii="Calibri" w:eastAsia="Times New Roman" w:hAnsi="Calibri" w:cs="Calibri"/>
                <w:color w:val="000000"/>
                <w:sz w:val="22"/>
                <w:szCs w:val="22"/>
              </w:rPr>
            </w:pPr>
          </w:p>
        </w:tc>
      </w:tr>
      <w:tr w:rsidR="009A1FED" w:rsidRPr="002712B5" w:rsidTr="00051EFC">
        <w:trPr>
          <w:cantSplit/>
          <w:trHeight w:val="58"/>
        </w:trPr>
        <w:tc>
          <w:tcPr>
            <w:tcW w:w="344"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13</w:t>
            </w:r>
          </w:p>
        </w:tc>
        <w:tc>
          <w:tcPr>
            <w:tcW w:w="407"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18-Nov</w:t>
            </w:r>
          </w:p>
        </w:tc>
        <w:tc>
          <w:tcPr>
            <w:tcW w:w="2207" w:type="pct"/>
            <w:tcBorders>
              <w:top w:val="nil"/>
              <w:left w:val="nil"/>
              <w:bottom w:val="nil"/>
              <w:right w:val="nil"/>
            </w:tcBorders>
            <w:shd w:val="clear" w:color="auto" w:fill="auto"/>
          </w:tcPr>
          <w:p w:rsidR="009E425D" w:rsidRDefault="009E425D" w:rsidP="009E425D">
            <w:pPr>
              <w:ind w:left="344" w:hanging="344"/>
              <w:rPr>
                <w:rFonts w:ascii="Calibri" w:eastAsia="Times New Roman" w:hAnsi="Calibri" w:cs="Calibri"/>
                <w:bCs/>
                <w:color w:val="000000"/>
                <w:sz w:val="22"/>
                <w:szCs w:val="22"/>
              </w:rPr>
            </w:pPr>
            <w:r>
              <w:rPr>
                <w:rFonts w:ascii="Calibri" w:eastAsia="Times New Roman" w:hAnsi="Calibri" w:cs="Calibri"/>
                <w:bCs/>
                <w:color w:val="000000"/>
                <w:sz w:val="22"/>
                <w:szCs w:val="22"/>
              </w:rPr>
              <w:t>Mock Review</w:t>
            </w:r>
          </w:p>
          <w:p w:rsidR="009A1FED" w:rsidRPr="009A7EC3" w:rsidRDefault="009A1FED" w:rsidP="009E425D">
            <w:pPr>
              <w:ind w:left="344" w:hanging="344"/>
              <w:rPr>
                <w:rFonts w:ascii="Calibri" w:eastAsia="Times New Roman" w:hAnsi="Calibri" w:cs="Calibri"/>
                <w:bCs/>
                <w:color w:val="000000"/>
                <w:sz w:val="22"/>
                <w:szCs w:val="22"/>
              </w:rPr>
            </w:pPr>
            <w:r>
              <w:rPr>
                <w:rFonts w:ascii="Calibri" w:eastAsia="Times New Roman" w:hAnsi="Calibri" w:cs="Calibri"/>
                <w:bCs/>
                <w:color w:val="000000"/>
                <w:sz w:val="22"/>
                <w:szCs w:val="22"/>
              </w:rPr>
              <w:t>Emotional Regulation I</w:t>
            </w:r>
          </w:p>
        </w:tc>
        <w:tc>
          <w:tcPr>
            <w:tcW w:w="2042" w:type="pct"/>
            <w:tcBorders>
              <w:top w:val="nil"/>
              <w:left w:val="nil"/>
              <w:bottom w:val="nil"/>
              <w:right w:val="nil"/>
            </w:tcBorders>
          </w:tcPr>
          <w:p w:rsidR="00FE27FC" w:rsidRPr="00FE27FC" w:rsidRDefault="009E425D" w:rsidP="009A1FED">
            <w:pPr>
              <w:rPr>
                <w:rFonts w:ascii="Calibri" w:eastAsia="Times New Roman" w:hAnsi="Calibri" w:cs="Calibri"/>
                <w:color w:val="000000"/>
                <w:sz w:val="22"/>
                <w:szCs w:val="22"/>
              </w:rPr>
            </w:pPr>
            <w:r>
              <w:rPr>
                <w:rFonts w:ascii="Calibri" w:eastAsia="Times New Roman" w:hAnsi="Calibri" w:cs="Calibri"/>
                <w:color w:val="000000"/>
                <w:sz w:val="22"/>
                <w:szCs w:val="22"/>
              </w:rPr>
              <w:br/>
            </w:r>
            <w:r w:rsidR="00FE27FC" w:rsidRPr="00FE27FC">
              <w:rPr>
                <w:rFonts w:ascii="Calibri" w:eastAsia="Times New Roman" w:hAnsi="Calibri" w:cs="Calibri"/>
                <w:color w:val="000000"/>
                <w:sz w:val="22"/>
                <w:szCs w:val="22"/>
              </w:rPr>
              <w:t>2</w:t>
            </w:r>
            <w:r>
              <w:rPr>
                <w:rFonts w:ascii="Calibri" w:eastAsia="Times New Roman" w:hAnsi="Calibri" w:cs="Calibri"/>
                <w:color w:val="000000"/>
                <w:sz w:val="22"/>
                <w:szCs w:val="22"/>
              </w:rPr>
              <w:t xml:space="preserve"> &amp; 3</w:t>
            </w:r>
            <w:r w:rsidR="00FE27FC" w:rsidRPr="00FE27FC">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Dore et al 2017</w:t>
            </w:r>
          </w:p>
        </w:tc>
      </w:tr>
      <w:tr w:rsidR="009A1FED" w:rsidRPr="002712B5" w:rsidTr="00051EFC">
        <w:trPr>
          <w:cantSplit/>
          <w:trHeight w:val="58"/>
        </w:trPr>
        <w:tc>
          <w:tcPr>
            <w:tcW w:w="344"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14</w:t>
            </w:r>
          </w:p>
        </w:tc>
        <w:tc>
          <w:tcPr>
            <w:tcW w:w="407" w:type="pct"/>
            <w:tcBorders>
              <w:top w:val="nil"/>
              <w:left w:val="nil"/>
              <w:bottom w:val="nil"/>
              <w:right w:val="nil"/>
            </w:tcBorders>
            <w:shd w:val="clear" w:color="auto" w:fill="F2F2F2" w:themeFill="background1" w:themeFillShade="F2"/>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25-Nov</w:t>
            </w:r>
          </w:p>
        </w:tc>
        <w:tc>
          <w:tcPr>
            <w:tcW w:w="2207" w:type="pct"/>
            <w:tcBorders>
              <w:top w:val="nil"/>
              <w:left w:val="nil"/>
              <w:bottom w:val="nil"/>
              <w:right w:val="nil"/>
            </w:tcBorders>
            <w:shd w:val="clear" w:color="auto" w:fill="F2F2F2" w:themeFill="background1" w:themeFillShade="F2"/>
          </w:tcPr>
          <w:p w:rsidR="009A1FED" w:rsidRPr="009A7EC3" w:rsidRDefault="009A1FED" w:rsidP="009A1FED">
            <w:pPr>
              <w:ind w:left="344" w:hanging="344"/>
              <w:rPr>
                <w:rFonts w:ascii="Calibri" w:eastAsia="Times New Roman" w:hAnsi="Calibri" w:cs="Calibri"/>
                <w:bCs/>
                <w:color w:val="000000"/>
                <w:sz w:val="22"/>
                <w:szCs w:val="22"/>
              </w:rPr>
            </w:pPr>
            <w:r>
              <w:rPr>
                <w:rFonts w:ascii="Calibri" w:eastAsia="Times New Roman" w:hAnsi="Calibri" w:cs="Calibri"/>
                <w:bCs/>
                <w:color w:val="000000"/>
                <w:sz w:val="22"/>
                <w:szCs w:val="22"/>
              </w:rPr>
              <w:t>Emotional Regulation II</w:t>
            </w:r>
          </w:p>
        </w:tc>
        <w:tc>
          <w:tcPr>
            <w:tcW w:w="2042" w:type="pct"/>
            <w:tcBorders>
              <w:top w:val="nil"/>
              <w:left w:val="nil"/>
              <w:bottom w:val="nil"/>
              <w:right w:val="nil"/>
            </w:tcBorders>
            <w:shd w:val="clear" w:color="auto" w:fill="F2F2F2" w:themeFill="background1" w:themeFillShade="F2"/>
          </w:tcPr>
          <w:p w:rsidR="00FE27FC" w:rsidRPr="00FE27FC" w:rsidRDefault="00FE27FC" w:rsidP="00FE27FC">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5.</w:t>
            </w:r>
            <w:r w:rsidR="008E375A">
              <w:rPr>
                <w:rFonts w:ascii="Calibri" w:eastAsia="Times New Roman" w:hAnsi="Calibri" w:cs="Calibri"/>
                <w:color w:val="000000"/>
                <w:sz w:val="22"/>
                <w:szCs w:val="22"/>
              </w:rPr>
              <w:t xml:space="preserve"> Wager et al 2008</w:t>
            </w:r>
          </w:p>
          <w:p w:rsidR="009A1FED" w:rsidRPr="00FE27FC" w:rsidRDefault="00FE27FC"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1.</w:t>
            </w:r>
            <w:r w:rsidR="008E375A">
              <w:rPr>
                <w:rFonts w:ascii="Calibri" w:eastAsia="Times New Roman" w:hAnsi="Calibri" w:cs="Calibri"/>
                <w:color w:val="000000"/>
                <w:sz w:val="22"/>
                <w:szCs w:val="22"/>
              </w:rPr>
              <w:t xml:space="preserve"> </w:t>
            </w:r>
            <w:proofErr w:type="spellStart"/>
            <w:r w:rsidR="008E375A" w:rsidRPr="008E375A">
              <w:rPr>
                <w:rFonts w:ascii="Calibri" w:eastAsia="Times New Roman" w:hAnsi="Calibri" w:cs="Calibri"/>
                <w:color w:val="000000"/>
                <w:sz w:val="22"/>
                <w:szCs w:val="22"/>
              </w:rPr>
              <w:t>M</w:t>
            </w:r>
            <w:r w:rsidR="008E375A">
              <w:rPr>
                <w:rFonts w:ascii="Calibri" w:eastAsia="Times New Roman" w:hAnsi="Calibri" w:cs="Calibri"/>
                <w:color w:val="000000"/>
                <w:sz w:val="22"/>
                <w:szCs w:val="22"/>
              </w:rPr>
              <w:t>onosov</w:t>
            </w:r>
            <w:proofErr w:type="spellEnd"/>
            <w:r w:rsidR="008E375A">
              <w:rPr>
                <w:rFonts w:ascii="Calibri" w:eastAsia="Times New Roman" w:hAnsi="Calibri" w:cs="Calibri"/>
                <w:color w:val="000000"/>
                <w:sz w:val="22"/>
                <w:szCs w:val="22"/>
              </w:rPr>
              <w:t xml:space="preserve"> &amp; </w:t>
            </w:r>
            <w:proofErr w:type="spellStart"/>
            <w:r w:rsidR="008E375A">
              <w:rPr>
                <w:rFonts w:ascii="Calibri" w:eastAsia="Times New Roman" w:hAnsi="Calibri" w:cs="Calibri"/>
                <w:color w:val="000000"/>
                <w:sz w:val="22"/>
                <w:szCs w:val="22"/>
              </w:rPr>
              <w:t>Hikosaka</w:t>
            </w:r>
            <w:proofErr w:type="spellEnd"/>
            <w:r w:rsidR="008E375A">
              <w:rPr>
                <w:rFonts w:ascii="Calibri" w:eastAsia="Times New Roman" w:hAnsi="Calibri" w:cs="Calibri"/>
                <w:color w:val="000000"/>
                <w:sz w:val="22"/>
                <w:szCs w:val="22"/>
              </w:rPr>
              <w:t xml:space="preserve"> 2012</w:t>
            </w:r>
          </w:p>
        </w:tc>
      </w:tr>
      <w:tr w:rsidR="009A1FED" w:rsidRPr="002712B5" w:rsidTr="00051EFC">
        <w:trPr>
          <w:cantSplit/>
          <w:trHeight w:val="58"/>
        </w:trPr>
        <w:tc>
          <w:tcPr>
            <w:tcW w:w="344"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15</w:t>
            </w:r>
          </w:p>
        </w:tc>
        <w:tc>
          <w:tcPr>
            <w:tcW w:w="407" w:type="pct"/>
            <w:tcBorders>
              <w:top w:val="nil"/>
              <w:left w:val="nil"/>
              <w:bottom w:val="nil"/>
              <w:right w:val="nil"/>
            </w:tcBorders>
            <w:shd w:val="clear" w:color="auto" w:fill="auto"/>
            <w:hideMark/>
          </w:tcPr>
          <w:p w:rsidR="009A1FED" w:rsidRPr="002712B5" w:rsidRDefault="009A1FED" w:rsidP="009A1FED">
            <w:pPr>
              <w:jc w:val="center"/>
              <w:rPr>
                <w:rFonts w:ascii="Calibri" w:eastAsia="Times New Roman" w:hAnsi="Calibri" w:cs="Calibri"/>
                <w:color w:val="000000"/>
                <w:sz w:val="22"/>
                <w:szCs w:val="22"/>
              </w:rPr>
            </w:pPr>
            <w:r w:rsidRPr="002712B5">
              <w:rPr>
                <w:rFonts w:ascii="Calibri" w:eastAsia="Times New Roman" w:hAnsi="Calibri" w:cs="Calibri"/>
                <w:color w:val="000000"/>
                <w:sz w:val="22"/>
                <w:szCs w:val="22"/>
              </w:rPr>
              <w:t>2-Dec</w:t>
            </w:r>
          </w:p>
        </w:tc>
        <w:tc>
          <w:tcPr>
            <w:tcW w:w="2207" w:type="pct"/>
            <w:tcBorders>
              <w:top w:val="nil"/>
              <w:left w:val="nil"/>
              <w:bottom w:val="nil"/>
              <w:right w:val="nil"/>
            </w:tcBorders>
            <w:shd w:val="clear" w:color="auto" w:fill="auto"/>
          </w:tcPr>
          <w:p w:rsidR="009A1FED" w:rsidRPr="002712B5" w:rsidRDefault="009A1FED" w:rsidP="009A1FED">
            <w:pPr>
              <w:ind w:left="344" w:hanging="344"/>
              <w:rPr>
                <w:rFonts w:ascii="Calibri" w:eastAsia="Times New Roman" w:hAnsi="Calibri" w:cs="Calibri"/>
                <w:color w:val="000000"/>
                <w:sz w:val="22"/>
                <w:szCs w:val="22"/>
              </w:rPr>
            </w:pPr>
            <w:r>
              <w:rPr>
                <w:rFonts w:ascii="Calibri" w:eastAsia="Times New Roman" w:hAnsi="Calibri" w:cs="Calibri"/>
                <w:color w:val="000000"/>
                <w:sz w:val="22"/>
                <w:szCs w:val="22"/>
              </w:rPr>
              <w:t xml:space="preserve">Other </w:t>
            </w:r>
            <w:r w:rsidR="009E425D">
              <w:rPr>
                <w:rFonts w:ascii="Calibri" w:eastAsia="Times New Roman" w:hAnsi="Calibri" w:cs="Calibri"/>
                <w:color w:val="000000"/>
                <w:sz w:val="22"/>
                <w:szCs w:val="22"/>
              </w:rPr>
              <w:t>domains and considerations</w:t>
            </w:r>
          </w:p>
        </w:tc>
        <w:tc>
          <w:tcPr>
            <w:tcW w:w="2042" w:type="pct"/>
            <w:tcBorders>
              <w:top w:val="nil"/>
              <w:left w:val="nil"/>
              <w:bottom w:val="nil"/>
              <w:right w:val="nil"/>
            </w:tcBorders>
          </w:tcPr>
          <w:p w:rsidR="009A1FED" w:rsidRPr="00FE27FC" w:rsidRDefault="009A1FED" w:rsidP="008E375A">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4.</w:t>
            </w:r>
            <w:r w:rsidR="008E375A">
              <w:rPr>
                <w:rFonts w:ascii="Calibri" w:eastAsia="Times New Roman" w:hAnsi="Calibri" w:cs="Calibri"/>
                <w:color w:val="000000"/>
                <w:sz w:val="22"/>
                <w:szCs w:val="22"/>
              </w:rPr>
              <w:t xml:space="preserve"> </w:t>
            </w:r>
            <w:proofErr w:type="spellStart"/>
            <w:r w:rsidR="008E375A" w:rsidRPr="008E375A">
              <w:rPr>
                <w:rFonts w:ascii="Calibri" w:eastAsia="Times New Roman" w:hAnsi="Calibri" w:cs="Calibri"/>
                <w:color w:val="000000"/>
                <w:sz w:val="22"/>
                <w:szCs w:val="22"/>
              </w:rPr>
              <w:t>Bhan</w:t>
            </w:r>
            <w:r w:rsidR="008E375A">
              <w:rPr>
                <w:rFonts w:ascii="Calibri" w:eastAsia="Times New Roman" w:hAnsi="Calibri" w:cs="Calibri"/>
                <w:color w:val="000000"/>
                <w:sz w:val="22"/>
                <w:szCs w:val="22"/>
              </w:rPr>
              <w:t>ji</w:t>
            </w:r>
            <w:proofErr w:type="spellEnd"/>
            <w:r w:rsidR="008E375A">
              <w:rPr>
                <w:rFonts w:ascii="Calibri" w:eastAsia="Times New Roman" w:hAnsi="Calibri" w:cs="Calibri"/>
                <w:color w:val="000000"/>
                <w:sz w:val="22"/>
                <w:szCs w:val="22"/>
              </w:rPr>
              <w:t xml:space="preserve"> and Delgado 2014</w:t>
            </w:r>
          </w:p>
          <w:p w:rsidR="009A1FED" w:rsidRPr="00FE27FC" w:rsidRDefault="009A1FED" w:rsidP="009A1FED">
            <w:pPr>
              <w:rPr>
                <w:rFonts w:ascii="Calibri" w:eastAsia="Times New Roman" w:hAnsi="Calibri" w:cs="Calibri"/>
                <w:color w:val="000000"/>
                <w:sz w:val="22"/>
                <w:szCs w:val="22"/>
              </w:rPr>
            </w:pPr>
            <w:r w:rsidRPr="00FE27FC">
              <w:rPr>
                <w:rFonts w:ascii="Calibri" w:eastAsia="Times New Roman" w:hAnsi="Calibri" w:cs="Calibri"/>
                <w:color w:val="000000"/>
                <w:sz w:val="22"/>
                <w:szCs w:val="22"/>
              </w:rPr>
              <w:t>5.</w:t>
            </w:r>
            <w:r w:rsidR="008E375A">
              <w:rPr>
                <w:rFonts w:ascii="Calibri" w:eastAsia="Times New Roman" w:hAnsi="Calibri" w:cs="Calibri"/>
                <w:color w:val="000000"/>
                <w:sz w:val="22"/>
                <w:szCs w:val="22"/>
              </w:rPr>
              <w:t xml:space="preserve"> </w:t>
            </w:r>
            <w:proofErr w:type="spellStart"/>
            <w:r w:rsidR="008E375A">
              <w:rPr>
                <w:rFonts w:ascii="Calibri" w:eastAsia="Times New Roman" w:hAnsi="Calibri" w:cs="Calibri"/>
                <w:color w:val="000000"/>
                <w:sz w:val="22"/>
                <w:szCs w:val="22"/>
              </w:rPr>
              <w:t>Dashtestani</w:t>
            </w:r>
            <w:proofErr w:type="spellEnd"/>
            <w:r w:rsidR="008E375A">
              <w:rPr>
                <w:rFonts w:ascii="Calibri" w:eastAsia="Times New Roman" w:hAnsi="Calibri" w:cs="Calibri"/>
                <w:color w:val="000000"/>
                <w:sz w:val="22"/>
                <w:szCs w:val="22"/>
              </w:rPr>
              <w:t xml:space="preserve"> et al 2018</w:t>
            </w:r>
          </w:p>
        </w:tc>
      </w:tr>
      <w:tr w:rsidR="009A1FED" w:rsidRPr="002712B5" w:rsidTr="00051EFC">
        <w:trPr>
          <w:cantSplit/>
          <w:trHeight w:val="58"/>
        </w:trPr>
        <w:tc>
          <w:tcPr>
            <w:tcW w:w="344" w:type="pct"/>
            <w:tcBorders>
              <w:top w:val="nil"/>
              <w:left w:val="nil"/>
              <w:bottom w:val="nil"/>
              <w:right w:val="nil"/>
            </w:tcBorders>
            <w:shd w:val="clear" w:color="auto" w:fill="D0CECE" w:themeFill="background2" w:themeFillShade="E6"/>
            <w:hideMark/>
          </w:tcPr>
          <w:p w:rsidR="009A1FED" w:rsidRPr="002712B5" w:rsidRDefault="009A1FED" w:rsidP="009A1FED">
            <w:pPr>
              <w:jc w:val="center"/>
              <w:rPr>
                <w:rFonts w:ascii="Times New Roman" w:eastAsia="Times New Roman" w:hAnsi="Times New Roman"/>
                <w:sz w:val="20"/>
              </w:rPr>
            </w:pPr>
          </w:p>
        </w:tc>
        <w:tc>
          <w:tcPr>
            <w:tcW w:w="407" w:type="pct"/>
            <w:tcBorders>
              <w:top w:val="nil"/>
              <w:left w:val="nil"/>
              <w:bottom w:val="nil"/>
              <w:right w:val="nil"/>
            </w:tcBorders>
            <w:shd w:val="clear" w:color="auto" w:fill="D0CECE" w:themeFill="background2" w:themeFillShade="E6"/>
            <w:hideMark/>
          </w:tcPr>
          <w:p w:rsidR="009A1FED" w:rsidRPr="002712B5" w:rsidRDefault="002028F1" w:rsidP="009A1FE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9</w:t>
            </w:r>
            <w:r w:rsidR="009A1FED">
              <w:rPr>
                <w:rFonts w:ascii="Calibri" w:eastAsia="Times New Roman" w:hAnsi="Calibri" w:cs="Calibri"/>
                <w:color w:val="000000"/>
                <w:sz w:val="22"/>
                <w:szCs w:val="22"/>
              </w:rPr>
              <w:t>-Dec</w:t>
            </w:r>
          </w:p>
        </w:tc>
        <w:tc>
          <w:tcPr>
            <w:tcW w:w="2207" w:type="pct"/>
            <w:tcBorders>
              <w:top w:val="nil"/>
              <w:left w:val="nil"/>
              <w:bottom w:val="nil"/>
              <w:right w:val="nil"/>
            </w:tcBorders>
            <w:shd w:val="clear" w:color="auto" w:fill="D0CECE" w:themeFill="background2" w:themeFillShade="E6"/>
          </w:tcPr>
          <w:p w:rsidR="009A1FED" w:rsidRPr="002712B5" w:rsidRDefault="009A1FED" w:rsidP="009A1FED">
            <w:pPr>
              <w:ind w:left="344" w:hanging="344"/>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No class, but final grants due by </w:t>
            </w:r>
            <w:r w:rsidR="002028F1">
              <w:rPr>
                <w:rFonts w:ascii="Calibri" w:eastAsia="Times New Roman" w:hAnsi="Calibri" w:cs="Calibri"/>
                <w:b/>
                <w:bCs/>
                <w:color w:val="000000"/>
                <w:sz w:val="22"/>
                <w:szCs w:val="22"/>
              </w:rPr>
              <w:t>11:</w:t>
            </w:r>
            <w:r>
              <w:rPr>
                <w:rFonts w:ascii="Calibri" w:eastAsia="Times New Roman" w:hAnsi="Calibri" w:cs="Calibri"/>
                <w:b/>
                <w:bCs/>
                <w:color w:val="000000"/>
                <w:sz w:val="22"/>
                <w:szCs w:val="22"/>
              </w:rPr>
              <w:t>5</w:t>
            </w:r>
            <w:r w:rsidR="002028F1">
              <w:rPr>
                <w:rFonts w:ascii="Calibri" w:eastAsia="Times New Roman" w:hAnsi="Calibri" w:cs="Calibri"/>
                <w:b/>
                <w:bCs/>
                <w:color w:val="000000"/>
                <w:sz w:val="22"/>
                <w:szCs w:val="22"/>
              </w:rPr>
              <w:t>9</w:t>
            </w:r>
            <w:r>
              <w:rPr>
                <w:rFonts w:ascii="Calibri" w:eastAsia="Times New Roman" w:hAnsi="Calibri" w:cs="Calibri"/>
                <w:b/>
                <w:bCs/>
                <w:color w:val="000000"/>
                <w:sz w:val="22"/>
                <w:szCs w:val="22"/>
              </w:rPr>
              <w:t>pm</w:t>
            </w:r>
          </w:p>
        </w:tc>
        <w:tc>
          <w:tcPr>
            <w:tcW w:w="2042" w:type="pct"/>
            <w:tcBorders>
              <w:top w:val="nil"/>
              <w:left w:val="nil"/>
              <w:bottom w:val="nil"/>
              <w:right w:val="nil"/>
            </w:tcBorders>
            <w:shd w:val="clear" w:color="auto" w:fill="D0CECE" w:themeFill="background2" w:themeFillShade="E6"/>
          </w:tcPr>
          <w:p w:rsidR="009A1FED" w:rsidRDefault="009A1FED" w:rsidP="009A1FED">
            <w:pPr>
              <w:rPr>
                <w:rFonts w:ascii="Calibri" w:eastAsia="Times New Roman" w:hAnsi="Calibri" w:cs="Calibri"/>
                <w:b/>
                <w:bCs/>
                <w:color w:val="000000"/>
                <w:sz w:val="22"/>
                <w:szCs w:val="22"/>
              </w:rPr>
            </w:pPr>
          </w:p>
        </w:tc>
      </w:tr>
    </w:tbl>
    <w:p w:rsidR="009A7EC3" w:rsidRDefault="009A7EC3" w:rsidP="009A7EC3">
      <w:pPr>
        <w:rPr>
          <w:rFonts w:asciiTheme="minorHAnsi" w:hAnsiTheme="minorHAnsi"/>
          <w:sz w:val="22"/>
          <w:szCs w:val="22"/>
        </w:rPr>
      </w:pPr>
      <w:bookmarkStart w:id="0" w:name="_GoBack"/>
      <w:bookmarkEnd w:id="0"/>
    </w:p>
    <w:sectPr w:rsidR="009A7EC3" w:rsidSect="006C726E">
      <w:headerReference w:type="even" r:id="rId13"/>
      <w:headerReference w:type="default" r:id="rId14"/>
      <w:pgSz w:w="12240" w:h="15840"/>
      <w:pgMar w:top="720"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BDC" w:rsidRDefault="00D11BDC">
      <w:r>
        <w:separator/>
      </w:r>
    </w:p>
  </w:endnote>
  <w:endnote w:type="continuationSeparator" w:id="0">
    <w:p w:rsidR="00D11BDC" w:rsidRDefault="00D1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BDC" w:rsidRDefault="00D11BDC">
      <w:r>
        <w:separator/>
      </w:r>
    </w:p>
  </w:footnote>
  <w:footnote w:type="continuationSeparator" w:id="0">
    <w:p w:rsidR="00D11BDC" w:rsidRDefault="00D1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5" w:rsidRDefault="002B2595" w:rsidP="006C72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595" w:rsidRDefault="002B2595" w:rsidP="006C72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5" w:rsidRPr="00C347D0" w:rsidRDefault="002B2595" w:rsidP="00C347D0">
    <w:pPr>
      <w:pStyle w:val="Header"/>
      <w:tabs>
        <w:tab w:val="clear" w:pos="4320"/>
        <w:tab w:val="clear" w:pos="8640"/>
      </w:tabs>
      <w:jc w:val="right"/>
      <w:rPr>
        <w:rFonts w:ascii="Calibri" w:hAnsi="Calibri"/>
      </w:rPr>
    </w:pPr>
    <w:r w:rsidRPr="00284338">
      <w:rPr>
        <w:rFonts w:ascii="Calibri" w:hAnsi="Calibri"/>
      </w:rPr>
      <w:t>P</w:t>
    </w:r>
    <w:r w:rsidR="00CE22FC">
      <w:rPr>
        <w:rFonts w:ascii="Calibri" w:hAnsi="Calibri"/>
      </w:rPr>
      <w:t>SY</w:t>
    </w:r>
    <w:r w:rsidR="00407CAE">
      <w:rPr>
        <w:rFonts w:ascii="Calibri" w:hAnsi="Calibri"/>
      </w:rPr>
      <w:t>620</w:t>
    </w:r>
    <w:r w:rsidRPr="00284338">
      <w:rPr>
        <w:rFonts w:ascii="Calibri" w:hAnsi="Calibri"/>
      </w:rPr>
      <w:t xml:space="preserve">, </w:t>
    </w:r>
    <w:r w:rsidR="00043D7B">
      <w:rPr>
        <w:rFonts w:ascii="Calibri" w:hAnsi="Calibri"/>
      </w:rPr>
      <w:t>Fall</w:t>
    </w:r>
    <w:r w:rsidR="0005662D">
      <w:rPr>
        <w:rFonts w:ascii="Calibri" w:hAnsi="Calibri"/>
      </w:rPr>
      <w:t xml:space="preserve"> </w:t>
    </w:r>
    <w:r w:rsidR="001320D5">
      <w:rPr>
        <w:rFonts w:ascii="Calibri" w:hAnsi="Calibri"/>
      </w:rPr>
      <w:t>201</w:t>
    </w:r>
    <w:r w:rsidR="00407CAE">
      <w:rPr>
        <w:rFonts w:ascii="Calibri" w:hAnsi="Calibri"/>
      </w:rPr>
      <w:t>9</w:t>
    </w:r>
    <w:r w:rsidRPr="00284338">
      <w:rPr>
        <w:rFonts w:ascii="Calibri" w:hAnsi="Calibri"/>
      </w:rPr>
      <w:t xml:space="preserve">   |   </w:t>
    </w:r>
    <w:r w:rsidRPr="00284338">
      <w:rPr>
        <w:rFonts w:ascii="Calibri" w:hAnsi="Calibri"/>
      </w:rPr>
      <w:fldChar w:fldCharType="begin"/>
    </w:r>
    <w:r w:rsidRPr="00284338">
      <w:rPr>
        <w:rFonts w:ascii="Calibri" w:hAnsi="Calibri"/>
      </w:rPr>
      <w:instrText xml:space="preserve"> PAGE   \* MERGEFORMAT </w:instrText>
    </w:r>
    <w:r w:rsidRPr="00284338">
      <w:rPr>
        <w:rFonts w:ascii="Calibri" w:hAnsi="Calibri"/>
      </w:rPr>
      <w:fldChar w:fldCharType="separate"/>
    </w:r>
    <w:r w:rsidR="002028F1">
      <w:rPr>
        <w:rFonts w:ascii="Calibri" w:hAnsi="Calibri"/>
        <w:noProof/>
      </w:rPr>
      <w:t>4</w:t>
    </w:r>
    <w:r w:rsidRPr="00284338">
      <w:rPr>
        <w:rFonts w:ascii="Calibri" w:hAnsi="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B"/>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C"/>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EC59CB"/>
    <w:multiLevelType w:val="hybridMultilevel"/>
    <w:tmpl w:val="17E0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57B12"/>
    <w:multiLevelType w:val="hybridMultilevel"/>
    <w:tmpl w:val="B4B88F28"/>
    <w:lvl w:ilvl="0" w:tplc="F3F831C4">
      <w:start w:val="5"/>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329BB"/>
    <w:multiLevelType w:val="multilevel"/>
    <w:tmpl w:val="42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D0049"/>
    <w:multiLevelType w:val="hybridMultilevel"/>
    <w:tmpl w:val="20D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C6DC5"/>
    <w:multiLevelType w:val="hybridMultilevel"/>
    <w:tmpl w:val="F8A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65A6A"/>
    <w:multiLevelType w:val="hybridMultilevel"/>
    <w:tmpl w:val="BDD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01CFD"/>
    <w:multiLevelType w:val="hybridMultilevel"/>
    <w:tmpl w:val="8FD0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0174B"/>
    <w:multiLevelType w:val="hybridMultilevel"/>
    <w:tmpl w:val="9384D4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DC1863"/>
    <w:multiLevelType w:val="hybridMultilevel"/>
    <w:tmpl w:val="EB4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06B81"/>
    <w:multiLevelType w:val="hybridMultilevel"/>
    <w:tmpl w:val="6C2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623ED"/>
    <w:multiLevelType w:val="hybridMultilevel"/>
    <w:tmpl w:val="C28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329CC"/>
    <w:multiLevelType w:val="hybridMultilevel"/>
    <w:tmpl w:val="F66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C0A01"/>
    <w:multiLevelType w:val="hybridMultilevel"/>
    <w:tmpl w:val="D20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06A3"/>
    <w:multiLevelType w:val="hybridMultilevel"/>
    <w:tmpl w:val="9F5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2C6B"/>
    <w:multiLevelType w:val="hybridMultilevel"/>
    <w:tmpl w:val="4E16FF48"/>
    <w:lvl w:ilvl="0" w:tplc="3F3C338E">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5" w15:restartNumberingAfterBreak="0">
    <w:nsid w:val="4A6F4E6D"/>
    <w:multiLevelType w:val="hybridMultilevel"/>
    <w:tmpl w:val="A81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C5A21"/>
    <w:multiLevelType w:val="hybridMultilevel"/>
    <w:tmpl w:val="52E22050"/>
    <w:lvl w:ilvl="0" w:tplc="141E2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625F36"/>
    <w:multiLevelType w:val="hybridMultilevel"/>
    <w:tmpl w:val="DE8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57A75"/>
    <w:multiLevelType w:val="hybridMultilevel"/>
    <w:tmpl w:val="3C6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7AC"/>
    <w:multiLevelType w:val="hybridMultilevel"/>
    <w:tmpl w:val="313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24DA7"/>
    <w:multiLevelType w:val="multilevel"/>
    <w:tmpl w:val="AEB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F4FD1"/>
    <w:multiLevelType w:val="hybridMultilevel"/>
    <w:tmpl w:val="9ED0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A356A"/>
    <w:multiLevelType w:val="hybridMultilevel"/>
    <w:tmpl w:val="A22285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5760735"/>
    <w:multiLevelType w:val="hybridMultilevel"/>
    <w:tmpl w:val="7F16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6B4"/>
    <w:multiLevelType w:val="hybridMultilevel"/>
    <w:tmpl w:val="03728424"/>
    <w:lvl w:ilvl="0" w:tplc="42B80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B07E9"/>
    <w:multiLevelType w:val="hybridMultilevel"/>
    <w:tmpl w:val="555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03922"/>
    <w:multiLevelType w:val="hybridMultilevel"/>
    <w:tmpl w:val="B09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E271A"/>
    <w:multiLevelType w:val="hybridMultilevel"/>
    <w:tmpl w:val="ECB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 w:numId="19">
    <w:abstractNumId w:val="1"/>
  </w:num>
  <w:num w:numId="20">
    <w:abstractNumId w:val="2"/>
  </w:num>
  <w:num w:numId="21">
    <w:abstractNumId w:val="0"/>
  </w:num>
  <w:num w:numId="22">
    <w:abstractNumId w:val="17"/>
  </w:num>
  <w:num w:numId="23">
    <w:abstractNumId w:val="22"/>
  </w:num>
  <w:num w:numId="24">
    <w:abstractNumId w:val="36"/>
  </w:num>
  <w:num w:numId="25">
    <w:abstractNumId w:val="26"/>
  </w:num>
  <w:num w:numId="26">
    <w:abstractNumId w:val="27"/>
  </w:num>
  <w:num w:numId="27">
    <w:abstractNumId w:val="13"/>
  </w:num>
  <w:num w:numId="28">
    <w:abstractNumId w:val="32"/>
  </w:num>
  <w:num w:numId="29">
    <w:abstractNumId w:val="19"/>
  </w:num>
  <w:num w:numId="30">
    <w:abstractNumId w:val="21"/>
  </w:num>
  <w:num w:numId="31">
    <w:abstractNumId w:val="20"/>
  </w:num>
  <w:num w:numId="32">
    <w:abstractNumId w:val="35"/>
  </w:num>
  <w:num w:numId="33">
    <w:abstractNumId w:val="37"/>
  </w:num>
  <w:num w:numId="34">
    <w:abstractNumId w:val="28"/>
  </w:num>
  <w:num w:numId="35">
    <w:abstractNumId w:val="18"/>
  </w:num>
  <w:num w:numId="36">
    <w:abstractNumId w:val="25"/>
  </w:num>
  <w:num w:numId="37">
    <w:abstractNumId w:val="23"/>
  </w:num>
  <w:num w:numId="38">
    <w:abstractNumId w:val="29"/>
  </w:num>
  <w:num w:numId="39">
    <w:abstractNumId w:val="10"/>
  </w:num>
  <w:num w:numId="40">
    <w:abstractNumId w:val="14"/>
  </w:num>
  <w:num w:numId="41">
    <w:abstractNumId w:val="11"/>
  </w:num>
  <w:num w:numId="42">
    <w:abstractNumId w:val="34"/>
  </w:num>
  <w:num w:numId="43">
    <w:abstractNumId w:val="24"/>
  </w:num>
  <w:num w:numId="44">
    <w:abstractNumId w:val="30"/>
  </w:num>
  <w:num w:numId="45">
    <w:abstractNumId w:val="12"/>
  </w:num>
  <w:num w:numId="46">
    <w:abstractNumId w:val="15"/>
  </w:num>
  <w:num w:numId="47">
    <w:abstractNumId w:val="16"/>
  </w:num>
  <w:num w:numId="48">
    <w:abstractNumId w:val="3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5D"/>
    <w:rsid w:val="00001D56"/>
    <w:rsid w:val="00003979"/>
    <w:rsid w:val="000219BE"/>
    <w:rsid w:val="00043D7B"/>
    <w:rsid w:val="00046C24"/>
    <w:rsid w:val="000512D0"/>
    <w:rsid w:val="00051EFC"/>
    <w:rsid w:val="0005662D"/>
    <w:rsid w:val="000575CC"/>
    <w:rsid w:val="0006265F"/>
    <w:rsid w:val="00075B5B"/>
    <w:rsid w:val="00083FDD"/>
    <w:rsid w:val="00095B6E"/>
    <w:rsid w:val="000B1D0B"/>
    <w:rsid w:val="000B496D"/>
    <w:rsid w:val="000B670F"/>
    <w:rsid w:val="000C5C75"/>
    <w:rsid w:val="000D733E"/>
    <w:rsid w:val="000E0211"/>
    <w:rsid w:val="000E76EC"/>
    <w:rsid w:val="000F307A"/>
    <w:rsid w:val="000F6E8E"/>
    <w:rsid w:val="00102525"/>
    <w:rsid w:val="00114B8A"/>
    <w:rsid w:val="0011756C"/>
    <w:rsid w:val="001203C2"/>
    <w:rsid w:val="00124C82"/>
    <w:rsid w:val="00125292"/>
    <w:rsid w:val="00126D05"/>
    <w:rsid w:val="001320D5"/>
    <w:rsid w:val="00132C11"/>
    <w:rsid w:val="0013670C"/>
    <w:rsid w:val="00145712"/>
    <w:rsid w:val="0015391D"/>
    <w:rsid w:val="00156615"/>
    <w:rsid w:val="00160C4D"/>
    <w:rsid w:val="0016373B"/>
    <w:rsid w:val="00163AFE"/>
    <w:rsid w:val="0016598E"/>
    <w:rsid w:val="001753DF"/>
    <w:rsid w:val="00181A26"/>
    <w:rsid w:val="00182E1A"/>
    <w:rsid w:val="00185A7B"/>
    <w:rsid w:val="00191216"/>
    <w:rsid w:val="00194E99"/>
    <w:rsid w:val="00195829"/>
    <w:rsid w:val="001B2735"/>
    <w:rsid w:val="001B3CDE"/>
    <w:rsid w:val="001B6326"/>
    <w:rsid w:val="001B6952"/>
    <w:rsid w:val="001B7E0E"/>
    <w:rsid w:val="001D7C84"/>
    <w:rsid w:val="001E6AA8"/>
    <w:rsid w:val="001F1561"/>
    <w:rsid w:val="0020181F"/>
    <w:rsid w:val="0020237E"/>
    <w:rsid w:val="002028F1"/>
    <w:rsid w:val="00215502"/>
    <w:rsid w:val="00221090"/>
    <w:rsid w:val="00221801"/>
    <w:rsid w:val="00222AD5"/>
    <w:rsid w:val="00224C50"/>
    <w:rsid w:val="002342B0"/>
    <w:rsid w:val="00247E02"/>
    <w:rsid w:val="00257213"/>
    <w:rsid w:val="00257AA5"/>
    <w:rsid w:val="00261A65"/>
    <w:rsid w:val="002652A8"/>
    <w:rsid w:val="00284338"/>
    <w:rsid w:val="002853F7"/>
    <w:rsid w:val="002876A3"/>
    <w:rsid w:val="002B2595"/>
    <w:rsid w:val="002B50E6"/>
    <w:rsid w:val="002B543D"/>
    <w:rsid w:val="002B6997"/>
    <w:rsid w:val="002C2C5A"/>
    <w:rsid w:val="002C35E0"/>
    <w:rsid w:val="002C5C47"/>
    <w:rsid w:val="002C7BC6"/>
    <w:rsid w:val="002D3AE4"/>
    <w:rsid w:val="002D57B5"/>
    <w:rsid w:val="002E426F"/>
    <w:rsid w:val="002F4E87"/>
    <w:rsid w:val="00300FA5"/>
    <w:rsid w:val="0030697C"/>
    <w:rsid w:val="00317517"/>
    <w:rsid w:val="0032377A"/>
    <w:rsid w:val="00323C51"/>
    <w:rsid w:val="003265F3"/>
    <w:rsid w:val="00337FDB"/>
    <w:rsid w:val="00342F7E"/>
    <w:rsid w:val="003568F5"/>
    <w:rsid w:val="003601F3"/>
    <w:rsid w:val="003619F3"/>
    <w:rsid w:val="00365C2A"/>
    <w:rsid w:val="0037089A"/>
    <w:rsid w:val="003736F1"/>
    <w:rsid w:val="00381B80"/>
    <w:rsid w:val="00385156"/>
    <w:rsid w:val="00390E15"/>
    <w:rsid w:val="003918DF"/>
    <w:rsid w:val="003942B2"/>
    <w:rsid w:val="00395CEC"/>
    <w:rsid w:val="003A1491"/>
    <w:rsid w:val="003A4F32"/>
    <w:rsid w:val="003B6306"/>
    <w:rsid w:val="003C33D9"/>
    <w:rsid w:val="003D024F"/>
    <w:rsid w:val="003D4B9A"/>
    <w:rsid w:val="003E6987"/>
    <w:rsid w:val="003F10CF"/>
    <w:rsid w:val="003F5FA9"/>
    <w:rsid w:val="0040117B"/>
    <w:rsid w:val="00407CAE"/>
    <w:rsid w:val="00420AE7"/>
    <w:rsid w:val="00421D11"/>
    <w:rsid w:val="0042731B"/>
    <w:rsid w:val="00436F10"/>
    <w:rsid w:val="004402DF"/>
    <w:rsid w:val="00450B2A"/>
    <w:rsid w:val="004670CD"/>
    <w:rsid w:val="0047017A"/>
    <w:rsid w:val="004714AC"/>
    <w:rsid w:val="00472026"/>
    <w:rsid w:val="004731D1"/>
    <w:rsid w:val="00474EC2"/>
    <w:rsid w:val="00475EDC"/>
    <w:rsid w:val="00482CE7"/>
    <w:rsid w:val="004A1200"/>
    <w:rsid w:val="004A7333"/>
    <w:rsid w:val="004B21FC"/>
    <w:rsid w:val="004C695D"/>
    <w:rsid w:val="004D7477"/>
    <w:rsid w:val="005015AA"/>
    <w:rsid w:val="00511954"/>
    <w:rsid w:val="0051438A"/>
    <w:rsid w:val="005219D2"/>
    <w:rsid w:val="00526AAB"/>
    <w:rsid w:val="00527544"/>
    <w:rsid w:val="00532FE1"/>
    <w:rsid w:val="005365A2"/>
    <w:rsid w:val="0053741E"/>
    <w:rsid w:val="00540982"/>
    <w:rsid w:val="00543EA0"/>
    <w:rsid w:val="005473B9"/>
    <w:rsid w:val="00550BCF"/>
    <w:rsid w:val="0056654D"/>
    <w:rsid w:val="00582F0F"/>
    <w:rsid w:val="0058578C"/>
    <w:rsid w:val="0059345B"/>
    <w:rsid w:val="005A5EEA"/>
    <w:rsid w:val="005B5691"/>
    <w:rsid w:val="005D1A2C"/>
    <w:rsid w:val="005E0E08"/>
    <w:rsid w:val="005E39F7"/>
    <w:rsid w:val="005E72C5"/>
    <w:rsid w:val="005E7A87"/>
    <w:rsid w:val="00602B65"/>
    <w:rsid w:val="006037ED"/>
    <w:rsid w:val="00611EAA"/>
    <w:rsid w:val="00614E87"/>
    <w:rsid w:val="0062101A"/>
    <w:rsid w:val="00622A3A"/>
    <w:rsid w:val="00623C13"/>
    <w:rsid w:val="00627079"/>
    <w:rsid w:val="006441AD"/>
    <w:rsid w:val="00645294"/>
    <w:rsid w:val="00647737"/>
    <w:rsid w:val="00680FE5"/>
    <w:rsid w:val="00685789"/>
    <w:rsid w:val="006877F3"/>
    <w:rsid w:val="0069205D"/>
    <w:rsid w:val="006A17E8"/>
    <w:rsid w:val="006A534F"/>
    <w:rsid w:val="006C726E"/>
    <w:rsid w:val="006C7F82"/>
    <w:rsid w:val="006E3644"/>
    <w:rsid w:val="006E5AAA"/>
    <w:rsid w:val="006F1338"/>
    <w:rsid w:val="007113A5"/>
    <w:rsid w:val="00716500"/>
    <w:rsid w:val="00722969"/>
    <w:rsid w:val="007231B2"/>
    <w:rsid w:val="00723DFE"/>
    <w:rsid w:val="00736C37"/>
    <w:rsid w:val="007502A5"/>
    <w:rsid w:val="00757CB6"/>
    <w:rsid w:val="00761DDC"/>
    <w:rsid w:val="0076399F"/>
    <w:rsid w:val="007712E5"/>
    <w:rsid w:val="007764BC"/>
    <w:rsid w:val="007849DB"/>
    <w:rsid w:val="007A404C"/>
    <w:rsid w:val="007A6099"/>
    <w:rsid w:val="007B4116"/>
    <w:rsid w:val="007C2E61"/>
    <w:rsid w:val="007D04AA"/>
    <w:rsid w:val="007D6D45"/>
    <w:rsid w:val="007E27D6"/>
    <w:rsid w:val="00814AB4"/>
    <w:rsid w:val="008203E5"/>
    <w:rsid w:val="00834C2A"/>
    <w:rsid w:val="00850607"/>
    <w:rsid w:val="0085110C"/>
    <w:rsid w:val="00862D82"/>
    <w:rsid w:val="008641E4"/>
    <w:rsid w:val="00875313"/>
    <w:rsid w:val="00883965"/>
    <w:rsid w:val="00887DED"/>
    <w:rsid w:val="00896750"/>
    <w:rsid w:val="008A18DC"/>
    <w:rsid w:val="008A46A2"/>
    <w:rsid w:val="008B59CF"/>
    <w:rsid w:val="008C5AE1"/>
    <w:rsid w:val="008C7087"/>
    <w:rsid w:val="008E375A"/>
    <w:rsid w:val="008F211E"/>
    <w:rsid w:val="008F304C"/>
    <w:rsid w:val="00907079"/>
    <w:rsid w:val="00907598"/>
    <w:rsid w:val="00907A31"/>
    <w:rsid w:val="00911C06"/>
    <w:rsid w:val="0091515E"/>
    <w:rsid w:val="00916D85"/>
    <w:rsid w:val="00920AD1"/>
    <w:rsid w:val="00921E2B"/>
    <w:rsid w:val="009318BB"/>
    <w:rsid w:val="00933BF1"/>
    <w:rsid w:val="00934842"/>
    <w:rsid w:val="00934ABA"/>
    <w:rsid w:val="0093698D"/>
    <w:rsid w:val="00941AF4"/>
    <w:rsid w:val="00947BA0"/>
    <w:rsid w:val="00954E2A"/>
    <w:rsid w:val="009671CE"/>
    <w:rsid w:val="0097321A"/>
    <w:rsid w:val="0097569B"/>
    <w:rsid w:val="009811FA"/>
    <w:rsid w:val="00992417"/>
    <w:rsid w:val="00993BDA"/>
    <w:rsid w:val="009A1FED"/>
    <w:rsid w:val="009A7EC3"/>
    <w:rsid w:val="009B1052"/>
    <w:rsid w:val="009B1E03"/>
    <w:rsid w:val="009B7EC3"/>
    <w:rsid w:val="009C216D"/>
    <w:rsid w:val="009D1938"/>
    <w:rsid w:val="009D663C"/>
    <w:rsid w:val="009E425D"/>
    <w:rsid w:val="009E7362"/>
    <w:rsid w:val="009E75AC"/>
    <w:rsid w:val="009F657A"/>
    <w:rsid w:val="00A02AE8"/>
    <w:rsid w:val="00A0652A"/>
    <w:rsid w:val="00A33735"/>
    <w:rsid w:val="00A40294"/>
    <w:rsid w:val="00A42255"/>
    <w:rsid w:val="00A454C8"/>
    <w:rsid w:val="00A545CA"/>
    <w:rsid w:val="00A558CD"/>
    <w:rsid w:val="00A571B6"/>
    <w:rsid w:val="00A668B5"/>
    <w:rsid w:val="00A721F7"/>
    <w:rsid w:val="00A75020"/>
    <w:rsid w:val="00A828A6"/>
    <w:rsid w:val="00AA7865"/>
    <w:rsid w:val="00AB7939"/>
    <w:rsid w:val="00AC4AF3"/>
    <w:rsid w:val="00AC6F83"/>
    <w:rsid w:val="00AD08BA"/>
    <w:rsid w:val="00AD4831"/>
    <w:rsid w:val="00AE0061"/>
    <w:rsid w:val="00AE4ED9"/>
    <w:rsid w:val="00AE4FA7"/>
    <w:rsid w:val="00AE6940"/>
    <w:rsid w:val="00AF5553"/>
    <w:rsid w:val="00B0187C"/>
    <w:rsid w:val="00B13923"/>
    <w:rsid w:val="00B1584D"/>
    <w:rsid w:val="00B17F85"/>
    <w:rsid w:val="00B25A63"/>
    <w:rsid w:val="00B260AB"/>
    <w:rsid w:val="00B35DC5"/>
    <w:rsid w:val="00B56A7D"/>
    <w:rsid w:val="00B57823"/>
    <w:rsid w:val="00B825FD"/>
    <w:rsid w:val="00B96262"/>
    <w:rsid w:val="00BA71E7"/>
    <w:rsid w:val="00BB4181"/>
    <w:rsid w:val="00BB54C5"/>
    <w:rsid w:val="00BB7C98"/>
    <w:rsid w:val="00BD18F3"/>
    <w:rsid w:val="00BD4221"/>
    <w:rsid w:val="00BD78A5"/>
    <w:rsid w:val="00BE0A84"/>
    <w:rsid w:val="00BE4678"/>
    <w:rsid w:val="00BE5A05"/>
    <w:rsid w:val="00BF02E2"/>
    <w:rsid w:val="00BF530A"/>
    <w:rsid w:val="00C1342A"/>
    <w:rsid w:val="00C13587"/>
    <w:rsid w:val="00C13F50"/>
    <w:rsid w:val="00C177F0"/>
    <w:rsid w:val="00C347D0"/>
    <w:rsid w:val="00C34D87"/>
    <w:rsid w:val="00C51ED9"/>
    <w:rsid w:val="00C533E7"/>
    <w:rsid w:val="00C573C9"/>
    <w:rsid w:val="00C60C06"/>
    <w:rsid w:val="00C62AD5"/>
    <w:rsid w:val="00C659AA"/>
    <w:rsid w:val="00C730E8"/>
    <w:rsid w:val="00C80FDE"/>
    <w:rsid w:val="00C830D3"/>
    <w:rsid w:val="00C86170"/>
    <w:rsid w:val="00C91469"/>
    <w:rsid w:val="00C97C94"/>
    <w:rsid w:val="00CA11A0"/>
    <w:rsid w:val="00CA3240"/>
    <w:rsid w:val="00CB4053"/>
    <w:rsid w:val="00CC2DC3"/>
    <w:rsid w:val="00CD6DC3"/>
    <w:rsid w:val="00CD6E4E"/>
    <w:rsid w:val="00CE1668"/>
    <w:rsid w:val="00CE22FC"/>
    <w:rsid w:val="00CE770A"/>
    <w:rsid w:val="00CF0A4B"/>
    <w:rsid w:val="00CF0F37"/>
    <w:rsid w:val="00CF339D"/>
    <w:rsid w:val="00CF4460"/>
    <w:rsid w:val="00CF5957"/>
    <w:rsid w:val="00D05D89"/>
    <w:rsid w:val="00D0651A"/>
    <w:rsid w:val="00D11BDC"/>
    <w:rsid w:val="00D13614"/>
    <w:rsid w:val="00D15ABF"/>
    <w:rsid w:val="00D309BC"/>
    <w:rsid w:val="00D42AEA"/>
    <w:rsid w:val="00D43C54"/>
    <w:rsid w:val="00D4409B"/>
    <w:rsid w:val="00D455E7"/>
    <w:rsid w:val="00D45CA0"/>
    <w:rsid w:val="00D5158F"/>
    <w:rsid w:val="00D673A3"/>
    <w:rsid w:val="00D70CDC"/>
    <w:rsid w:val="00D74DEA"/>
    <w:rsid w:val="00D8339B"/>
    <w:rsid w:val="00D917FA"/>
    <w:rsid w:val="00D94465"/>
    <w:rsid w:val="00DA3028"/>
    <w:rsid w:val="00DA7D04"/>
    <w:rsid w:val="00DC1524"/>
    <w:rsid w:val="00DC5F6B"/>
    <w:rsid w:val="00DD28C9"/>
    <w:rsid w:val="00DD48F3"/>
    <w:rsid w:val="00DD6929"/>
    <w:rsid w:val="00DF5F47"/>
    <w:rsid w:val="00DF6384"/>
    <w:rsid w:val="00E01871"/>
    <w:rsid w:val="00E02D80"/>
    <w:rsid w:val="00E160CC"/>
    <w:rsid w:val="00E21E95"/>
    <w:rsid w:val="00E43B65"/>
    <w:rsid w:val="00E600DE"/>
    <w:rsid w:val="00E60343"/>
    <w:rsid w:val="00E62E2F"/>
    <w:rsid w:val="00E67FF3"/>
    <w:rsid w:val="00E740AD"/>
    <w:rsid w:val="00E77096"/>
    <w:rsid w:val="00E80F9B"/>
    <w:rsid w:val="00E8594E"/>
    <w:rsid w:val="00E9035E"/>
    <w:rsid w:val="00E92BF9"/>
    <w:rsid w:val="00EA52CA"/>
    <w:rsid w:val="00ED54E0"/>
    <w:rsid w:val="00EE4364"/>
    <w:rsid w:val="00EF5C6E"/>
    <w:rsid w:val="00F068C1"/>
    <w:rsid w:val="00F21479"/>
    <w:rsid w:val="00F21C6B"/>
    <w:rsid w:val="00F23DC5"/>
    <w:rsid w:val="00F62EEB"/>
    <w:rsid w:val="00F64309"/>
    <w:rsid w:val="00F67D4E"/>
    <w:rsid w:val="00F72AC4"/>
    <w:rsid w:val="00F96847"/>
    <w:rsid w:val="00FA1A44"/>
    <w:rsid w:val="00FA654B"/>
    <w:rsid w:val="00FB776D"/>
    <w:rsid w:val="00FD7157"/>
    <w:rsid w:val="00FD7658"/>
    <w:rsid w:val="00FE27FC"/>
    <w:rsid w:val="00FE2C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8D7BC3"/>
  <w15:chartTrackingRefBased/>
  <w15:docId w15:val="{19A4AD74-2B57-47F9-BCC1-8584136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9C"/>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character" w:styleId="FollowedHyperlink">
    <w:name w:val="FollowedHyperlink"/>
    <w:rPr>
      <w:color w:val="800080"/>
      <w:u w:val="single"/>
    </w:rPr>
  </w:style>
  <w:style w:type="table" w:styleId="TableGrid">
    <w:name w:val="Table Grid"/>
    <w:basedOn w:val="TableNormal"/>
    <w:rsid w:val="00F8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84338"/>
    <w:rPr>
      <w:sz w:val="24"/>
    </w:rPr>
  </w:style>
  <w:style w:type="paragraph" w:styleId="ListParagraph">
    <w:name w:val="List Paragraph"/>
    <w:basedOn w:val="Normal"/>
    <w:qFormat/>
    <w:rsid w:val="00FD7157"/>
    <w:pPr>
      <w:ind w:left="720"/>
      <w:contextualSpacing/>
    </w:pPr>
  </w:style>
  <w:style w:type="table" w:styleId="GridTable4-Accent5">
    <w:name w:val="Grid Table 4 Accent 5"/>
    <w:basedOn w:val="TableNormal"/>
    <w:uiPriority w:val="49"/>
    <w:rsid w:val="009D663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9D66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9D66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A668B5"/>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A668B5"/>
  </w:style>
  <w:style w:type="paragraph" w:styleId="BalloonText">
    <w:name w:val="Balloon Text"/>
    <w:basedOn w:val="Normal"/>
    <w:link w:val="BalloonTextChar"/>
    <w:rsid w:val="00627079"/>
    <w:rPr>
      <w:rFonts w:ascii="Segoe UI" w:hAnsi="Segoe UI" w:cs="Segoe UI"/>
      <w:sz w:val="18"/>
      <w:szCs w:val="18"/>
    </w:rPr>
  </w:style>
  <w:style w:type="character" w:customStyle="1" w:styleId="BalloonTextChar">
    <w:name w:val="Balloon Text Char"/>
    <w:basedOn w:val="DefaultParagraphFont"/>
    <w:link w:val="BalloonText"/>
    <w:rsid w:val="00627079"/>
    <w:rPr>
      <w:rFonts w:ascii="Segoe UI" w:hAnsi="Segoe UI" w:cs="Segoe UI"/>
      <w:sz w:val="18"/>
      <w:szCs w:val="18"/>
    </w:rPr>
  </w:style>
  <w:style w:type="paragraph" w:styleId="Title">
    <w:name w:val="Title"/>
    <w:basedOn w:val="Normal"/>
    <w:next w:val="Normal"/>
    <w:link w:val="TitleChar"/>
    <w:qFormat/>
    <w:rsid w:val="00543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E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543E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3EA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5060">
      <w:bodyDiv w:val="1"/>
      <w:marLeft w:val="0"/>
      <w:marRight w:val="0"/>
      <w:marTop w:val="0"/>
      <w:marBottom w:val="0"/>
      <w:divBdr>
        <w:top w:val="none" w:sz="0" w:space="0" w:color="auto"/>
        <w:left w:val="none" w:sz="0" w:space="0" w:color="auto"/>
        <w:bottom w:val="none" w:sz="0" w:space="0" w:color="auto"/>
        <w:right w:val="none" w:sz="0" w:space="0" w:color="auto"/>
      </w:divBdr>
    </w:div>
    <w:div w:id="565343488">
      <w:bodyDiv w:val="1"/>
      <w:marLeft w:val="0"/>
      <w:marRight w:val="0"/>
      <w:marTop w:val="0"/>
      <w:marBottom w:val="0"/>
      <w:divBdr>
        <w:top w:val="none" w:sz="0" w:space="0" w:color="auto"/>
        <w:left w:val="none" w:sz="0" w:space="0" w:color="auto"/>
        <w:bottom w:val="none" w:sz="0" w:space="0" w:color="auto"/>
        <w:right w:val="none" w:sz="0" w:space="0" w:color="auto"/>
      </w:divBdr>
    </w:div>
    <w:div w:id="611596488">
      <w:bodyDiv w:val="1"/>
      <w:marLeft w:val="0"/>
      <w:marRight w:val="0"/>
      <w:marTop w:val="0"/>
      <w:marBottom w:val="0"/>
      <w:divBdr>
        <w:top w:val="none" w:sz="0" w:space="0" w:color="auto"/>
        <w:left w:val="none" w:sz="0" w:space="0" w:color="auto"/>
        <w:bottom w:val="none" w:sz="0" w:space="0" w:color="auto"/>
        <w:right w:val="none" w:sz="0" w:space="0" w:color="auto"/>
      </w:divBdr>
    </w:div>
    <w:div w:id="836074033">
      <w:bodyDiv w:val="1"/>
      <w:marLeft w:val="0"/>
      <w:marRight w:val="0"/>
      <w:marTop w:val="0"/>
      <w:marBottom w:val="0"/>
      <w:divBdr>
        <w:top w:val="none" w:sz="0" w:space="0" w:color="auto"/>
        <w:left w:val="none" w:sz="0" w:space="0" w:color="auto"/>
        <w:bottom w:val="none" w:sz="0" w:space="0" w:color="auto"/>
        <w:right w:val="none" w:sz="0" w:space="0" w:color="auto"/>
      </w:divBdr>
    </w:div>
    <w:div w:id="846362823">
      <w:bodyDiv w:val="1"/>
      <w:marLeft w:val="0"/>
      <w:marRight w:val="0"/>
      <w:marTop w:val="0"/>
      <w:marBottom w:val="0"/>
      <w:divBdr>
        <w:top w:val="none" w:sz="0" w:space="0" w:color="auto"/>
        <w:left w:val="none" w:sz="0" w:space="0" w:color="auto"/>
        <w:bottom w:val="none" w:sz="0" w:space="0" w:color="auto"/>
        <w:right w:val="none" w:sz="0" w:space="0" w:color="auto"/>
      </w:divBdr>
      <w:divsChild>
        <w:div w:id="1546403782">
          <w:marLeft w:val="0"/>
          <w:marRight w:val="0"/>
          <w:marTop w:val="0"/>
          <w:marBottom w:val="0"/>
          <w:divBdr>
            <w:top w:val="none" w:sz="0" w:space="0" w:color="auto"/>
            <w:left w:val="none" w:sz="0" w:space="0" w:color="auto"/>
            <w:bottom w:val="none" w:sz="0" w:space="0" w:color="auto"/>
            <w:right w:val="none" w:sz="0" w:space="0" w:color="auto"/>
          </w:divBdr>
        </w:div>
      </w:divsChild>
    </w:div>
    <w:div w:id="1898741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amioh.edu/policy-library/students/undergraduate/academic-regulations/academic-integri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amioh.edu/policy-library/students/undergraduate/academic-regulations/academic-integrit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inl3BIeHvMYl-fQjDSy2duuYa1GnNjNEdkGlmc12Mrg/pub" TargetMode="External"/><Relationship Id="rId4" Type="http://schemas.openxmlformats.org/officeDocument/2006/relationships/settings" Target="settings.xml"/><Relationship Id="rId9" Type="http://schemas.openxmlformats.org/officeDocument/2006/relationships/hyperlink" Target="mailto:matthew.mcmurray@miamio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7672-D307-4F33-871C-950BC504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16926</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Psychology 270b:  Research Methods in Behavioral Neuroscience</vt:lpstr>
    </vt:vector>
  </TitlesOfParts>
  <Company>Yale University</Company>
  <LinksUpToDate>false</LinksUpToDate>
  <CharactersWithSpaces>13682</CharactersWithSpaces>
  <SharedDoc>false</SharedDoc>
  <HLinks>
    <vt:vector size="12" baseType="variant">
      <vt:variant>
        <vt:i4>6488154</vt:i4>
      </vt:variant>
      <vt:variant>
        <vt:i4>0</vt:i4>
      </vt:variant>
      <vt:variant>
        <vt:i4>0</vt:i4>
      </vt:variant>
      <vt:variant>
        <vt:i4>5</vt:i4>
      </vt:variant>
      <vt:variant>
        <vt:lpwstr>mailto:quinnjj@miamioh.edu</vt:lpwstr>
      </vt:variant>
      <vt:variant>
        <vt:lpwstr/>
      </vt:variant>
      <vt:variant>
        <vt:i4>5111904</vt:i4>
      </vt:variant>
      <vt:variant>
        <vt:i4>2048</vt:i4>
      </vt:variant>
      <vt:variant>
        <vt:i4>1025</vt:i4>
      </vt:variant>
      <vt:variant>
        <vt:i4>1</vt:i4>
      </vt:variant>
      <vt:variant>
        <vt:lpwstr>print-FSL_186K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270b:  Research Methods in Behavioral Neuroscience</dc:title>
  <dc:subject/>
  <dc:creator>Karyn Frick</dc:creator>
  <cp:keywords/>
  <cp:lastModifiedBy>McMurray, Matthew Dr.</cp:lastModifiedBy>
  <cp:revision>159</cp:revision>
  <cp:lastPrinted>2015-08-19T17:42:00Z</cp:lastPrinted>
  <dcterms:created xsi:type="dcterms:W3CDTF">2015-05-12T16:42:00Z</dcterms:created>
  <dcterms:modified xsi:type="dcterms:W3CDTF">2019-11-25T16:39:00Z</dcterms:modified>
</cp:coreProperties>
</file>